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630" w:rsidRPr="00CB5EE9" w:rsidRDefault="00A17630" w:rsidP="00A17630">
      <w:pPr>
        <w:pStyle w:val="af"/>
        <w:tabs>
          <w:tab w:val="right" w:pos="9639"/>
        </w:tabs>
        <w:rPr>
          <w:i/>
          <w:iCs/>
          <w:sz w:val="24"/>
          <w:szCs w:val="24"/>
          <w:lang w:val="en-US"/>
        </w:rPr>
      </w:pPr>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w:t>
      </w:r>
      <w:r w:rsidR="00D92EA1">
        <w:rPr>
          <w:sz w:val="24"/>
          <w:szCs w:val="24"/>
          <w:lang w:val="en-US"/>
        </w:rPr>
        <w:t>3</w:t>
      </w:r>
      <w:r w:rsidR="00A6772F">
        <w:rPr>
          <w:sz w:val="24"/>
          <w:szCs w:val="24"/>
          <w:lang w:val="en-US"/>
        </w:rPr>
        <w:t>bis-e</w:t>
      </w:r>
      <w:r w:rsidRPr="00CB5EE9">
        <w:rPr>
          <w:bCs/>
          <w:sz w:val="24"/>
          <w:szCs w:val="24"/>
          <w:lang w:val="en-US"/>
        </w:rPr>
        <w:tab/>
      </w:r>
      <w:r w:rsidR="007A3F51" w:rsidRPr="007A3F51">
        <w:rPr>
          <w:rFonts w:cs="Arial"/>
          <w:sz w:val="24"/>
          <w:szCs w:val="24"/>
        </w:rPr>
        <w:t>R2-2</w:t>
      </w:r>
      <w:r w:rsidR="00131D97">
        <w:rPr>
          <w:rFonts w:cs="Arial"/>
          <w:sz w:val="24"/>
          <w:szCs w:val="24"/>
        </w:rPr>
        <w:t>104</w:t>
      </w:r>
      <w:r w:rsidR="00B251AF">
        <w:rPr>
          <w:rFonts w:cs="Arial"/>
          <w:sz w:val="24"/>
          <w:szCs w:val="24"/>
        </w:rPr>
        <w:t>20</w:t>
      </w:r>
      <w:bookmarkStart w:id="0" w:name="_GoBack"/>
      <w:bookmarkEnd w:id="0"/>
      <w:r w:rsidR="00131D97">
        <w:rPr>
          <w:rFonts w:cs="Arial"/>
          <w:sz w:val="24"/>
          <w:szCs w:val="24"/>
        </w:rPr>
        <w:t>6</w:t>
      </w:r>
    </w:p>
    <w:p w:rsidR="00A17630" w:rsidRPr="00D92EA1" w:rsidRDefault="00D92EA1" w:rsidP="00A17630">
      <w:pPr>
        <w:pStyle w:val="af"/>
        <w:tabs>
          <w:tab w:val="right" w:pos="9639"/>
        </w:tabs>
        <w:rPr>
          <w:bCs/>
          <w:sz w:val="24"/>
        </w:rPr>
      </w:pPr>
      <w:r>
        <w:rPr>
          <w:sz w:val="24"/>
          <w:szCs w:val="24"/>
          <w:lang w:val="da-DK" w:eastAsia="zh-CN"/>
        </w:rPr>
        <w:t xml:space="preserve">Online, </w:t>
      </w:r>
      <w:r w:rsidR="00890AB7">
        <w:rPr>
          <w:sz w:val="24"/>
          <w:szCs w:val="24"/>
          <w:lang w:val="da-DK" w:eastAsia="zh-CN"/>
        </w:rPr>
        <w:t>12-20 April</w:t>
      </w:r>
      <w:r>
        <w:rPr>
          <w:sz w:val="24"/>
          <w:szCs w:val="24"/>
          <w:lang w:val="da-DK" w:eastAsia="zh-CN"/>
        </w:rPr>
        <w:t>, 2021</w:t>
      </w:r>
      <w:r w:rsidR="00A17630" w:rsidRPr="00737122">
        <w:rPr>
          <w:sz w:val="24"/>
          <w:szCs w:val="24"/>
          <w:lang w:val="da-DK" w:eastAsia="zh-CN"/>
        </w:rPr>
        <w:tab/>
      </w:r>
    </w:p>
    <w:p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86216">
        <w:rPr>
          <w:rFonts w:cs="Arial"/>
          <w:b/>
          <w:bCs/>
          <w:sz w:val="24"/>
          <w:lang w:val="da-DK"/>
        </w:rPr>
        <w:t>8.6.2</w:t>
      </w:r>
    </w:p>
    <w:p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265C7">
        <w:rPr>
          <w:rFonts w:ascii="Arial" w:hAnsi="Arial" w:cs="Arial"/>
          <w:b/>
          <w:bCs/>
          <w:sz w:val="24"/>
          <w:lang w:val="en-US"/>
        </w:rPr>
        <w:t>o</w:t>
      </w:r>
      <w:r w:rsidR="009E46B7">
        <w:rPr>
          <w:rFonts w:ascii="Arial" w:hAnsi="Arial" w:cs="Arial"/>
          <w:b/>
          <w:bCs/>
          <w:sz w:val="24"/>
          <w:lang w:val="en-US"/>
        </w:rPr>
        <w:t>n the overall and detailed procedure</w:t>
      </w:r>
      <w:r w:rsidR="00D61E99">
        <w:rPr>
          <w:rFonts w:ascii="Arial" w:hAnsi="Arial" w:cs="Arial"/>
          <w:b/>
          <w:bCs/>
          <w:sz w:val="24"/>
          <w:lang w:val="en-US"/>
        </w:rPr>
        <w:t xml:space="preserve"> of SDT </w:t>
      </w:r>
    </w:p>
    <w:p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Introduction</w:t>
      </w:r>
    </w:p>
    <w:p w:rsidR="00A6390A" w:rsidRPr="00F71C0B" w:rsidRDefault="00F71C0B" w:rsidP="00F71C0B">
      <w:pPr>
        <w:overflowPunct w:val="0"/>
        <w:autoSpaceDE w:val="0"/>
        <w:autoSpaceDN w:val="0"/>
        <w:adjustRightInd w:val="0"/>
        <w:spacing w:line="300" w:lineRule="auto"/>
        <w:jc w:val="both"/>
        <w:textAlignment w:val="baseline"/>
        <w:rPr>
          <w:sz w:val="22"/>
          <w:szCs w:val="22"/>
          <w:lang w:val="en-US" w:eastAsia="zh-CN"/>
        </w:rPr>
      </w:pPr>
      <w:r>
        <w:rPr>
          <w:sz w:val="22"/>
          <w:szCs w:val="22"/>
          <w:lang w:val="en-US" w:eastAsia="zh-CN"/>
        </w:rPr>
        <w:t>The Small Data Transmission have been extensively discussed in the previous RAN2 meetings, and the following agreements</w:t>
      </w:r>
      <w:r w:rsidR="00EF2A0D">
        <w:rPr>
          <w:sz w:val="22"/>
          <w:szCs w:val="22"/>
          <w:lang w:val="en-US" w:eastAsia="zh-CN"/>
        </w:rPr>
        <w:t xml:space="preserve"> regarding overall procedure</w:t>
      </w:r>
      <w:r w:rsidR="00CD4335">
        <w:rPr>
          <w:sz w:val="22"/>
          <w:szCs w:val="22"/>
          <w:lang w:val="en-US" w:eastAsia="zh-CN"/>
        </w:rPr>
        <w:t xml:space="preserve"> and detailed selection criteria</w:t>
      </w:r>
      <w:r>
        <w:rPr>
          <w:sz w:val="22"/>
          <w:szCs w:val="22"/>
          <w:lang w:val="en-US" w:eastAsia="zh-CN"/>
        </w:rPr>
        <w:t xml:space="preserve"> have been achieved in RAN2 #103e meeting. </w:t>
      </w:r>
    </w:p>
    <w:tbl>
      <w:tblPr>
        <w:tblStyle w:val="af4"/>
        <w:tblW w:w="0" w:type="auto"/>
        <w:tblLook w:val="04A0" w:firstRow="1" w:lastRow="0" w:firstColumn="1" w:lastColumn="0" w:noHBand="0" w:noVBand="1"/>
      </w:tblPr>
      <w:tblGrid>
        <w:gridCol w:w="9631"/>
      </w:tblGrid>
      <w:tr w:rsidR="00A6390A" w:rsidTr="00A6390A">
        <w:tc>
          <w:tcPr>
            <w:tcW w:w="9855" w:type="dxa"/>
          </w:tcPr>
          <w:p w:rsidR="00A6390A" w:rsidRPr="00DD06C9" w:rsidRDefault="00A6390A" w:rsidP="00A6390A">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rsidR="00A6390A" w:rsidRPr="00584CE2" w:rsidRDefault="00A6390A" w:rsidP="00584CE2">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584CE2">
              <w:rPr>
                <w:rFonts w:ascii="Times New Roman" w:eastAsia="MS Gothic" w:hAnsi="Times New Roman" w:cs="Times New Roman"/>
                <w:noProof/>
                <w:sz w:val="20"/>
                <w:szCs w:val="24"/>
                <w:lang w:val="en-GB" w:eastAsia="ko-KR"/>
              </w:rPr>
              <w:t>5.</w:t>
            </w:r>
            <w:r w:rsidRPr="00584CE2">
              <w:rPr>
                <w:rFonts w:ascii="Times New Roman" w:eastAsia="MS Gothic" w:hAnsi="Times New Roman" w:cs="Times New Roman"/>
                <w:noProof/>
                <w:sz w:val="20"/>
                <w:szCs w:val="24"/>
                <w:lang w:val="en-GB" w:eastAsia="ko-KR"/>
              </w:rPr>
              <w:tab/>
              <w:t>FFS: RSRP threshold to select between SDT and non-SDT procedure.</w:t>
            </w:r>
          </w:p>
          <w:p w:rsidR="00A6390A" w:rsidRPr="00584CE2" w:rsidRDefault="00A6390A" w:rsidP="00584CE2">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584CE2">
              <w:rPr>
                <w:rFonts w:ascii="Times New Roman" w:eastAsia="MS Gothic" w:hAnsi="Times New Roman" w:cs="Times New Roman"/>
                <w:noProof/>
                <w:sz w:val="20"/>
                <w:szCs w:val="24"/>
                <w:lang w:val="en-GB" w:eastAsia="ko-KR"/>
              </w:rPr>
              <w:t>6.</w:t>
            </w:r>
            <w:r w:rsidRPr="00584CE2">
              <w:rPr>
                <w:rFonts w:ascii="Times New Roman" w:eastAsia="MS Gothic" w:hAnsi="Times New Roman" w:cs="Times New Roman"/>
                <w:noProof/>
                <w:sz w:val="20"/>
                <w:szCs w:val="24"/>
                <w:lang w:val="en-GB" w:eastAsia="ko-KR"/>
              </w:rPr>
              <w:tab/>
              <w:t>FFS also whether this RSRP threshold to select between SDT and non-SDT procedure is used for CG-SDT, RA-SDT, or both and whether the RSRP threshold is the same for CG-SDT and RA-SDT. FFS when the RSRP threshold check is made</w:t>
            </w:r>
            <w:r w:rsidR="00584CE2" w:rsidRPr="00584CE2">
              <w:rPr>
                <w:rFonts w:ascii="Times New Roman" w:eastAsia="MS Gothic" w:hAnsi="Times New Roman" w:cs="Times New Roman"/>
                <w:noProof/>
                <w:sz w:val="20"/>
                <w:szCs w:val="24"/>
                <w:lang w:val="en-GB" w:eastAsia="ko-KR"/>
              </w:rPr>
              <w:t>.</w:t>
            </w:r>
          </w:p>
          <w:p w:rsidR="00584CE2" w:rsidRPr="00584CE2" w:rsidRDefault="00584CE2" w:rsidP="00584CE2">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584CE2">
              <w:rPr>
                <w:rFonts w:ascii="Times New Roman" w:eastAsia="MS Gothic" w:hAnsi="Times New Roman" w:cs="Times New Roman"/>
                <w:noProof/>
                <w:sz w:val="20"/>
                <w:szCs w:val="24"/>
                <w:lang w:val="en-GB" w:eastAsia="ko-KR"/>
              </w:rPr>
              <w:t>7.</w:t>
            </w:r>
            <w:r w:rsidRPr="00584CE2">
              <w:rPr>
                <w:rFonts w:ascii="Times New Roman" w:eastAsia="MS Gothic" w:hAnsi="Times New Roman" w:cs="Times New Roman"/>
                <w:noProof/>
                <w:sz w:val="20"/>
                <w:szCs w:val="24"/>
                <w:lang w:val="en-GB" w:eastAsia="ko-KR"/>
              </w:rPr>
              <w:tab/>
              <w:t>FFS If both carriers can be selected and CG resources are available on one carrier only, does the UE select the carrier with CG?</w:t>
            </w:r>
          </w:p>
          <w:p w:rsidR="00584CE2" w:rsidRPr="00584CE2" w:rsidRDefault="00584CE2" w:rsidP="00584CE2">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584CE2">
              <w:rPr>
                <w:rFonts w:ascii="Times New Roman" w:eastAsia="MS Gothic" w:hAnsi="Times New Roman" w:cs="Times New Roman"/>
                <w:noProof/>
                <w:sz w:val="20"/>
                <w:szCs w:val="24"/>
                <w:lang w:val="en-GB" w:eastAsia="ko-KR"/>
              </w:rPr>
              <w:t>8.</w:t>
            </w:r>
            <w:r w:rsidRPr="00584CE2">
              <w:rPr>
                <w:rFonts w:ascii="Times New Roman" w:eastAsia="MS Gothic" w:hAnsi="Times New Roman" w:cs="Times New Roman"/>
                <w:noProof/>
                <w:sz w:val="20"/>
                <w:szCs w:val="24"/>
                <w:lang w:val="en-GB" w:eastAsia="ko-KR"/>
              </w:rPr>
              <w:tab/>
              <w:t>For SDT, UE performs UL carrier selection (i.e. if SUL is configured in the cell, UL carrier selected based on RSRP threshold).  FFS whether the RSRP threshold for carrier selection is specific to SDT)</w:t>
            </w:r>
          </w:p>
          <w:p w:rsidR="00584CE2" w:rsidRPr="00584CE2" w:rsidRDefault="00584CE2" w:rsidP="00584CE2">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584CE2">
              <w:rPr>
                <w:rFonts w:ascii="Times New Roman" w:eastAsia="MS Gothic" w:hAnsi="Times New Roman" w:cs="Times New Roman"/>
                <w:noProof/>
                <w:sz w:val="20"/>
                <w:szCs w:val="24"/>
                <w:lang w:val="en-GB" w:eastAsia="ko-KR"/>
              </w:rPr>
              <w:t>9.</w:t>
            </w:r>
            <w:r w:rsidRPr="00584CE2">
              <w:rPr>
                <w:rFonts w:ascii="Times New Roman" w:eastAsia="MS Gothic" w:hAnsi="Times New Roman" w:cs="Times New Roman"/>
                <w:noProof/>
                <w:sz w:val="20"/>
                <w:szCs w:val="24"/>
                <w:lang w:val="en-GB" w:eastAsia="ko-KR"/>
              </w:rPr>
              <w:tab/>
              <w:t>If CG-SDT resources are configured on the selected UL carrier and are valid, then CG-SDT is chosen.  Otherwise,</w:t>
            </w:r>
          </w:p>
          <w:p w:rsidR="00584CE2" w:rsidRPr="00584CE2" w:rsidRDefault="00584CE2" w:rsidP="00EE6C3F">
            <w:pPr>
              <w:pStyle w:val="af5"/>
              <w:adjustRightInd w:val="0"/>
              <w:snapToGrid w:val="0"/>
              <w:spacing w:line="240" w:lineRule="auto"/>
              <w:ind w:leftChars="200" w:left="400"/>
              <w:jc w:val="both"/>
              <w:rPr>
                <w:rFonts w:ascii="Times New Roman" w:eastAsia="MS Gothic" w:hAnsi="Times New Roman" w:cs="Times New Roman"/>
                <w:noProof/>
                <w:sz w:val="20"/>
                <w:szCs w:val="24"/>
                <w:lang w:val="en-GB" w:eastAsia="ko-KR"/>
              </w:rPr>
            </w:pPr>
            <w:r w:rsidRPr="00584CE2">
              <w:rPr>
                <w:rFonts w:ascii="Times New Roman" w:eastAsia="MS Gothic" w:hAnsi="Times New Roman" w:cs="Times New Roman" w:hint="eastAsia"/>
                <w:noProof/>
                <w:sz w:val="20"/>
                <w:szCs w:val="24"/>
                <w:lang w:val="en-GB" w:eastAsia="ko-KR"/>
              </w:rPr>
              <w:t>•</w:t>
            </w:r>
            <w:r w:rsidRPr="00584CE2">
              <w:rPr>
                <w:rFonts w:ascii="Times New Roman" w:eastAsia="MS Gothic" w:hAnsi="Times New Roman" w:cs="Times New Roman"/>
                <w:noProof/>
                <w:sz w:val="20"/>
                <w:szCs w:val="24"/>
                <w:lang w:val="en-GB" w:eastAsia="ko-KR"/>
              </w:rPr>
              <w:tab/>
              <w:t xml:space="preserve"> </w:t>
            </w:r>
            <w:r>
              <w:rPr>
                <w:rFonts w:ascii="Times New Roman" w:eastAsia="MS Gothic" w:hAnsi="Times New Roman" w:cs="Times New Roman"/>
                <w:noProof/>
                <w:sz w:val="20"/>
                <w:szCs w:val="24"/>
                <w:lang w:val="en-GB" w:eastAsia="ko-KR"/>
              </w:rPr>
              <w:t xml:space="preserve"> </w:t>
            </w:r>
            <w:r w:rsidRPr="00584CE2">
              <w:rPr>
                <w:rFonts w:ascii="Times New Roman" w:eastAsia="MS Gothic" w:hAnsi="Times New Roman" w:cs="Times New Roman"/>
                <w:noProof/>
                <w:sz w:val="20"/>
                <w:szCs w:val="24"/>
                <w:lang w:val="en-GB" w:eastAsia="ko-KR"/>
              </w:rPr>
              <w:t xml:space="preserve">If both 2 step RA-SDT and 4 step RA-SDT resources are configured on the UL carrier, RA type selection is performed based on RSRP threshold. </w:t>
            </w:r>
          </w:p>
          <w:p w:rsidR="00A6390A" w:rsidRPr="00EE6C3F" w:rsidRDefault="00584CE2" w:rsidP="00EE6C3F">
            <w:pPr>
              <w:adjustRightInd w:val="0"/>
              <w:snapToGrid w:val="0"/>
              <w:spacing w:line="240" w:lineRule="auto"/>
              <w:ind w:firstLineChars="200" w:firstLine="400"/>
              <w:jc w:val="both"/>
              <w:rPr>
                <w:rFonts w:eastAsia="Malgun Gothic"/>
                <w:noProof/>
                <w:szCs w:val="24"/>
                <w:lang w:eastAsia="ko-KR"/>
              </w:rPr>
            </w:pPr>
            <w:r w:rsidRPr="00EE6C3F">
              <w:rPr>
                <w:rFonts w:eastAsia="MS Gothic"/>
                <w:noProof/>
                <w:szCs w:val="24"/>
                <w:lang w:eastAsia="ko-KR"/>
              </w:rPr>
              <w:t>-     FFS whether RSRP threshold for RA type selection is common or different for SDT and non SDT.</w:t>
            </w:r>
            <w:r w:rsidR="00A6390A" w:rsidRPr="00EE6C3F">
              <w:rPr>
                <w:rFonts w:eastAsia="MS Gothic"/>
                <w:noProof/>
                <w:szCs w:val="24"/>
                <w:lang w:eastAsia="ko-KR"/>
              </w:rPr>
              <w:t xml:space="preserve"> </w:t>
            </w:r>
          </w:p>
        </w:tc>
      </w:tr>
    </w:tbl>
    <w:p w:rsidR="00A6390A" w:rsidRDefault="004E288E" w:rsidP="00567508">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In this contribution, we will </w:t>
      </w:r>
      <w:r w:rsidR="00F13B87">
        <w:rPr>
          <w:sz w:val="22"/>
          <w:lang w:eastAsia="zh-CN"/>
        </w:rPr>
        <w:t>focus on the</w:t>
      </w:r>
      <w:r>
        <w:rPr>
          <w:sz w:val="22"/>
          <w:lang w:eastAsia="zh-CN"/>
        </w:rPr>
        <w:t xml:space="preserve"> remaining issues related to </w:t>
      </w:r>
      <w:r w:rsidR="002E7753">
        <w:rPr>
          <w:sz w:val="22"/>
          <w:lang w:eastAsia="zh-CN"/>
        </w:rPr>
        <w:t>SDT procedure</w:t>
      </w:r>
      <w:r>
        <w:rPr>
          <w:sz w:val="22"/>
          <w:lang w:eastAsia="zh-CN"/>
        </w:rPr>
        <w:t xml:space="preserve">, and provide our analyses on the general principles for SDT. </w:t>
      </w:r>
    </w:p>
    <w:p w:rsidR="001170A3" w:rsidRDefault="001170A3" w:rsidP="001170A3">
      <w:pPr>
        <w:pStyle w:val="1"/>
        <w:numPr>
          <w:ilvl w:val="0"/>
          <w:numId w:val="49"/>
        </w:numPr>
        <w:tabs>
          <w:tab w:val="clear" w:pos="432"/>
        </w:tabs>
        <w:spacing w:line="240" w:lineRule="auto"/>
        <w:ind w:left="1134" w:hanging="1134"/>
        <w:rPr>
          <w:rFonts w:eastAsia="宋体"/>
          <w:lang w:val="en-US"/>
        </w:rPr>
      </w:pPr>
      <w:r w:rsidRPr="001170A3">
        <w:rPr>
          <w:rFonts w:eastAsia="宋体"/>
          <w:lang w:val="en-US"/>
        </w:rPr>
        <w:t>Discussion</w:t>
      </w:r>
    </w:p>
    <w:p w:rsidR="00FB2441" w:rsidRDefault="00FB2441" w:rsidP="001170A3">
      <w:pPr>
        <w:pStyle w:val="20"/>
        <w:numPr>
          <w:ilvl w:val="1"/>
          <w:numId w:val="49"/>
        </w:numPr>
        <w:overflowPunct w:val="0"/>
        <w:autoSpaceDE w:val="0"/>
        <w:autoSpaceDN w:val="0"/>
        <w:adjustRightInd w:val="0"/>
        <w:spacing w:after="0" w:line="240" w:lineRule="auto"/>
        <w:textAlignment w:val="baseline"/>
        <w:rPr>
          <w:rFonts w:eastAsiaTheme="minorEastAsia"/>
          <w:szCs w:val="32"/>
          <w:lang w:eastAsia="zh-CN"/>
        </w:rPr>
      </w:pPr>
      <w:r>
        <w:rPr>
          <w:rFonts w:eastAsia="宋体" w:hint="eastAsia"/>
          <w:szCs w:val="32"/>
          <w:lang w:eastAsia="zh-CN"/>
        </w:rPr>
        <w:t>O</w:t>
      </w:r>
      <w:r>
        <w:rPr>
          <w:rFonts w:eastAsia="宋体"/>
          <w:szCs w:val="32"/>
          <w:lang w:eastAsia="zh-CN"/>
        </w:rPr>
        <w:t>verall procedure</w:t>
      </w:r>
    </w:p>
    <w:p w:rsidR="001170A3" w:rsidRPr="00FB2441" w:rsidRDefault="00FB2441" w:rsidP="00FB2441">
      <w:pPr>
        <w:overflowPunct w:val="0"/>
        <w:autoSpaceDE w:val="0"/>
        <w:autoSpaceDN w:val="0"/>
        <w:adjustRightInd w:val="0"/>
        <w:spacing w:before="180" w:line="360" w:lineRule="auto"/>
        <w:jc w:val="both"/>
        <w:textAlignment w:val="baseline"/>
        <w:rPr>
          <w:b/>
          <w:sz w:val="22"/>
          <w:u w:val="single"/>
          <w:lang w:val="en-US" w:eastAsia="zh-CN"/>
        </w:rPr>
      </w:pPr>
      <w:r w:rsidRPr="00FB2441">
        <w:rPr>
          <w:b/>
          <w:sz w:val="22"/>
          <w:u w:val="single"/>
          <w:lang w:val="en-US" w:eastAsia="zh-CN"/>
        </w:rPr>
        <w:t>RSRP threshold for carrier selection</w:t>
      </w:r>
      <w:r w:rsidR="00295EBD" w:rsidRPr="00FB2441">
        <w:rPr>
          <w:b/>
          <w:sz w:val="22"/>
          <w:u w:val="single"/>
          <w:lang w:val="en-US" w:eastAsia="zh-CN"/>
        </w:rPr>
        <w:t xml:space="preserve"> </w:t>
      </w:r>
    </w:p>
    <w:p w:rsidR="001810B8" w:rsidRDefault="001B1C20" w:rsidP="00567508">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 xml:space="preserve">In the post-email discussion, the SDT selection criteria and overall procedure have been discussed. In order to clarify the RSRP threshold for different selection issues clearly, we </w:t>
      </w:r>
      <w:r w:rsidR="001D0B68">
        <w:rPr>
          <w:sz w:val="22"/>
          <w:lang w:val="en-US" w:eastAsia="zh-CN"/>
        </w:rPr>
        <w:t xml:space="preserve">shall </w:t>
      </w:r>
      <w:r>
        <w:rPr>
          <w:sz w:val="22"/>
          <w:lang w:val="en-US" w:eastAsia="zh-CN"/>
        </w:rPr>
        <w:t xml:space="preserve">first illustrate the overall procedure of SDT. </w:t>
      </w:r>
      <w:r w:rsidR="008A597E">
        <w:rPr>
          <w:sz w:val="22"/>
          <w:lang w:val="en-US" w:eastAsia="zh-CN"/>
        </w:rPr>
        <w:t xml:space="preserve">Considering that the UL carrier should be selected based on the coverage, the UE should </w:t>
      </w:r>
      <w:r w:rsidR="0080513B">
        <w:rPr>
          <w:sz w:val="22"/>
          <w:lang w:val="en-US" w:eastAsia="zh-CN"/>
        </w:rPr>
        <w:t>first make selection</w:t>
      </w:r>
      <w:r w:rsidR="001D0B68">
        <w:rPr>
          <w:sz w:val="22"/>
          <w:lang w:val="en-US" w:eastAsia="zh-CN"/>
        </w:rPr>
        <w:t>s</w:t>
      </w:r>
      <w:r w:rsidR="0080513B">
        <w:rPr>
          <w:sz w:val="22"/>
          <w:lang w:val="en-US" w:eastAsia="zh-CN"/>
        </w:rPr>
        <w:t xml:space="preserve"> between SUL and NUL</w:t>
      </w:r>
      <w:r w:rsidR="003C293F">
        <w:rPr>
          <w:sz w:val="22"/>
          <w:lang w:val="en-US" w:eastAsia="zh-CN"/>
        </w:rPr>
        <w:t xml:space="preserve"> when new UL data comes</w:t>
      </w:r>
      <w:r w:rsidR="008A597E">
        <w:rPr>
          <w:sz w:val="22"/>
          <w:lang w:val="en-US" w:eastAsia="zh-CN"/>
        </w:rPr>
        <w:t xml:space="preserve">. </w:t>
      </w:r>
      <w:r w:rsidR="001810B8">
        <w:rPr>
          <w:sz w:val="22"/>
          <w:lang w:val="en-US" w:eastAsia="zh-CN"/>
        </w:rPr>
        <w:t xml:space="preserve">And the </w:t>
      </w:r>
      <w:r w:rsidR="001810B8" w:rsidRPr="001810B8">
        <w:rPr>
          <w:sz w:val="22"/>
          <w:lang w:val="en-US" w:eastAsia="zh-CN"/>
        </w:rPr>
        <w:t xml:space="preserve">legacy RSRP threshold for carrier selection is enough. </w:t>
      </w:r>
      <w:r w:rsidR="002B185F">
        <w:rPr>
          <w:sz w:val="22"/>
          <w:lang w:val="en-US" w:eastAsia="zh-CN"/>
        </w:rPr>
        <w:t>For instance</w:t>
      </w:r>
      <w:r w:rsidR="001D0B68">
        <w:rPr>
          <w:sz w:val="22"/>
          <w:lang w:val="en-US" w:eastAsia="zh-CN"/>
        </w:rPr>
        <w:t xml:space="preserve">, </w:t>
      </w:r>
      <w:r w:rsidR="001810B8">
        <w:rPr>
          <w:sz w:val="22"/>
          <w:lang w:val="en-US" w:eastAsia="zh-CN"/>
        </w:rPr>
        <w:t xml:space="preserve">when the RSRP strength at the cell edge is lower than a threshold, the UE selects SUL for UL transmission. </w:t>
      </w:r>
      <w:r w:rsidR="002B185F">
        <w:rPr>
          <w:sz w:val="22"/>
          <w:lang w:val="en-US" w:eastAsia="zh-CN"/>
        </w:rPr>
        <w:t xml:space="preserve">Since the correct carrier can ensure the UL coverage, the carrier selection should be performed before other procedures to ensure the service performance. </w:t>
      </w:r>
    </w:p>
    <w:p w:rsidR="002B185F" w:rsidRDefault="002B185F" w:rsidP="002B185F">
      <w:pPr>
        <w:overflowPunct w:val="0"/>
        <w:autoSpaceDE w:val="0"/>
        <w:autoSpaceDN w:val="0"/>
        <w:adjustRightInd w:val="0"/>
        <w:spacing w:before="180" w:line="360" w:lineRule="auto"/>
        <w:jc w:val="both"/>
        <w:textAlignment w:val="baseline"/>
        <w:rPr>
          <w:b/>
          <w:sz w:val="22"/>
          <w:lang w:val="en-US" w:eastAsia="zh-CN"/>
        </w:rPr>
      </w:pPr>
      <w:r w:rsidRPr="00923B90">
        <w:rPr>
          <w:rFonts w:hint="eastAsia"/>
          <w:b/>
          <w:sz w:val="22"/>
          <w:lang w:val="en-US" w:eastAsia="zh-CN"/>
        </w:rPr>
        <w:lastRenderedPageBreak/>
        <w:t>P</w:t>
      </w:r>
      <w:r w:rsidRPr="00923B90">
        <w:rPr>
          <w:b/>
          <w:sz w:val="22"/>
          <w:lang w:val="en-US" w:eastAsia="zh-CN"/>
        </w:rPr>
        <w:t>roposal 1: Carrier selection should be performed before other procedures to ensure the service performance.</w:t>
      </w:r>
    </w:p>
    <w:p w:rsidR="00FB2441" w:rsidRPr="00FB2441" w:rsidRDefault="00FB2441" w:rsidP="00567508">
      <w:pPr>
        <w:overflowPunct w:val="0"/>
        <w:autoSpaceDE w:val="0"/>
        <w:autoSpaceDN w:val="0"/>
        <w:adjustRightInd w:val="0"/>
        <w:spacing w:before="180" w:line="360" w:lineRule="auto"/>
        <w:jc w:val="both"/>
        <w:textAlignment w:val="baseline"/>
        <w:rPr>
          <w:b/>
          <w:sz w:val="22"/>
          <w:u w:val="single"/>
          <w:lang w:val="en-US" w:eastAsia="zh-CN"/>
        </w:rPr>
      </w:pPr>
      <w:r w:rsidRPr="00FB2441">
        <w:rPr>
          <w:b/>
          <w:sz w:val="22"/>
          <w:u w:val="single"/>
          <w:lang w:val="en-US" w:eastAsia="zh-CN"/>
        </w:rPr>
        <w:t xml:space="preserve">RSRP threshold for </w:t>
      </w:r>
      <w:r>
        <w:rPr>
          <w:b/>
          <w:sz w:val="22"/>
          <w:u w:val="single"/>
          <w:lang w:val="en-US" w:eastAsia="zh-CN"/>
        </w:rPr>
        <w:t>SDT and non-SDT selection</w:t>
      </w:r>
    </w:p>
    <w:p w:rsidR="00D60B4E" w:rsidRDefault="00D60B4E" w:rsidP="00567508">
      <w:pPr>
        <w:overflowPunct w:val="0"/>
        <w:autoSpaceDE w:val="0"/>
        <w:autoSpaceDN w:val="0"/>
        <w:adjustRightInd w:val="0"/>
        <w:spacing w:before="180" w:line="360" w:lineRule="auto"/>
        <w:jc w:val="both"/>
        <w:textAlignment w:val="baseline"/>
        <w:rPr>
          <w:sz w:val="22"/>
          <w:lang w:val="en-US" w:eastAsia="zh-CN"/>
        </w:rPr>
      </w:pPr>
      <w:r>
        <w:rPr>
          <w:rFonts w:hint="eastAsia"/>
          <w:sz w:val="22"/>
          <w:lang w:val="en-US" w:eastAsia="zh-CN"/>
        </w:rPr>
        <w:t>A</w:t>
      </w:r>
      <w:r>
        <w:rPr>
          <w:sz w:val="22"/>
          <w:lang w:val="en-US" w:eastAsia="zh-CN"/>
        </w:rPr>
        <w:t xml:space="preserve">fter the carrier selection, the UE should determine whether to use SDT or non-SDT procedure. </w:t>
      </w:r>
      <w:r w:rsidR="00F42CAA">
        <w:rPr>
          <w:sz w:val="22"/>
          <w:lang w:val="en-US" w:eastAsia="zh-CN"/>
        </w:rPr>
        <w:t>Considering that</w:t>
      </w:r>
      <w:r>
        <w:rPr>
          <w:sz w:val="22"/>
          <w:lang w:val="en-US" w:eastAsia="zh-CN"/>
        </w:rPr>
        <w:t xml:space="preserve"> the SDT PDU contains both RRC message and user data, the wireless link quality should be good enough to transmit such a big PDU.</w:t>
      </w:r>
      <w:r w:rsidR="00F42CAA">
        <w:rPr>
          <w:sz w:val="22"/>
          <w:lang w:val="en-US" w:eastAsia="zh-CN"/>
        </w:rPr>
        <w:t xml:space="preserve"> </w:t>
      </w:r>
      <w:r w:rsidR="005A46A9" w:rsidRPr="005A46A9">
        <w:rPr>
          <w:sz w:val="22"/>
          <w:lang w:val="en-US" w:eastAsia="zh-CN"/>
        </w:rPr>
        <w:t>And the RSRP threshold can be considered to make the decision.</w:t>
      </w:r>
      <w:r w:rsidR="00F42CAA">
        <w:rPr>
          <w:sz w:val="22"/>
          <w:lang w:val="en-US" w:eastAsia="zh-CN"/>
        </w:rPr>
        <w:t xml:space="preserve"> </w:t>
      </w:r>
      <w:r w:rsidR="005A46A9">
        <w:rPr>
          <w:sz w:val="22"/>
          <w:lang w:val="en-US" w:eastAsia="zh-CN"/>
        </w:rPr>
        <w:t xml:space="preserve">When </w:t>
      </w:r>
      <w:r w:rsidR="00F42CAA">
        <w:rPr>
          <w:sz w:val="22"/>
          <w:lang w:val="en-US" w:eastAsia="zh-CN"/>
        </w:rPr>
        <w:t xml:space="preserve">the RSRP threshold for SDT transmission is satisfied, UE will use SDT procedure, otherwise, it will fallback to legacy RRC resume procedure to ensure the data transmission. </w:t>
      </w:r>
    </w:p>
    <w:p w:rsidR="00FB2441" w:rsidRPr="00FB2441" w:rsidRDefault="005056BD" w:rsidP="00567508">
      <w:pPr>
        <w:overflowPunct w:val="0"/>
        <w:autoSpaceDE w:val="0"/>
        <w:autoSpaceDN w:val="0"/>
        <w:adjustRightInd w:val="0"/>
        <w:spacing w:before="180" w:line="360" w:lineRule="auto"/>
        <w:jc w:val="both"/>
        <w:textAlignment w:val="baseline"/>
        <w:rPr>
          <w:b/>
          <w:sz w:val="22"/>
          <w:lang w:val="en-US" w:eastAsia="zh-CN"/>
        </w:rPr>
      </w:pPr>
      <w:r w:rsidRPr="00923B90">
        <w:rPr>
          <w:rFonts w:hint="eastAsia"/>
          <w:b/>
          <w:sz w:val="22"/>
          <w:lang w:val="en-US" w:eastAsia="zh-CN"/>
        </w:rPr>
        <w:t>P</w:t>
      </w:r>
      <w:r w:rsidRPr="00923B90">
        <w:rPr>
          <w:b/>
          <w:sz w:val="22"/>
          <w:lang w:val="en-US" w:eastAsia="zh-CN"/>
        </w:rPr>
        <w:t xml:space="preserve">roposal </w:t>
      </w:r>
      <w:r>
        <w:rPr>
          <w:b/>
          <w:sz w:val="22"/>
          <w:lang w:val="en-US" w:eastAsia="zh-CN"/>
        </w:rPr>
        <w:t>2</w:t>
      </w:r>
      <w:r w:rsidRPr="00923B90">
        <w:rPr>
          <w:b/>
          <w:sz w:val="22"/>
          <w:lang w:val="en-US" w:eastAsia="zh-CN"/>
        </w:rPr>
        <w:t xml:space="preserve">: </w:t>
      </w:r>
      <w:r>
        <w:rPr>
          <w:b/>
          <w:sz w:val="22"/>
          <w:lang w:val="en-US" w:eastAsia="zh-CN"/>
        </w:rPr>
        <w:t xml:space="preserve">After the carrier selection, the UE should </w:t>
      </w:r>
      <w:r w:rsidR="002904C4">
        <w:rPr>
          <w:b/>
          <w:sz w:val="22"/>
          <w:lang w:val="en-US" w:eastAsia="zh-CN"/>
        </w:rPr>
        <w:t xml:space="preserve">determine whether to use SDT or non-SDT procedure based on the RSRP threshold. </w:t>
      </w:r>
    </w:p>
    <w:p w:rsidR="00904250" w:rsidRDefault="000D5A80" w:rsidP="00567508">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W</w:t>
      </w:r>
      <w:r w:rsidR="002904C4">
        <w:rPr>
          <w:sz w:val="22"/>
          <w:lang w:val="en-US" w:eastAsia="zh-CN"/>
        </w:rPr>
        <w:t>hen SDT is enabled, the UE should determine whether to use CG-SDT or RA-SDT</w:t>
      </w:r>
      <w:r w:rsidR="009674D5">
        <w:rPr>
          <w:sz w:val="22"/>
          <w:lang w:val="en-US" w:eastAsia="zh-CN"/>
        </w:rPr>
        <w:t xml:space="preserve"> on the selected UL carrier</w:t>
      </w:r>
      <w:r w:rsidR="00196420">
        <w:rPr>
          <w:sz w:val="22"/>
          <w:lang w:val="en-US" w:eastAsia="zh-CN"/>
        </w:rPr>
        <w:t xml:space="preserve">. RAN2 #113e has proposed that the UE </w:t>
      </w:r>
      <w:r w:rsidR="00196420" w:rsidRPr="00196420">
        <w:rPr>
          <w:sz w:val="22"/>
          <w:lang w:val="en-US" w:eastAsia="zh-CN"/>
        </w:rPr>
        <w:t>prioritize</w:t>
      </w:r>
      <w:r w:rsidR="00196420">
        <w:rPr>
          <w:sz w:val="22"/>
          <w:lang w:val="en-US" w:eastAsia="zh-CN"/>
        </w:rPr>
        <w:t xml:space="preserve">s CG-SDT over RA-SDT when </w:t>
      </w:r>
      <w:r w:rsidR="000D404A">
        <w:rPr>
          <w:sz w:val="22"/>
          <w:lang w:val="en-US" w:eastAsia="zh-CN"/>
        </w:rPr>
        <w:t xml:space="preserve">initiating </w:t>
      </w:r>
      <w:r w:rsidR="00463E20" w:rsidRPr="00623001">
        <w:rPr>
          <w:sz w:val="22"/>
          <w:lang w:val="en-US" w:eastAsia="zh-CN"/>
        </w:rPr>
        <w:t xml:space="preserve">the SDT procedure. </w:t>
      </w:r>
      <w:r w:rsidR="00E70D40">
        <w:rPr>
          <w:sz w:val="22"/>
          <w:lang w:val="en-US" w:eastAsia="zh-CN"/>
        </w:rPr>
        <w:t>It means that once the CG-SDT criteria is satisfied, UE will perform the CG-SDT procedure</w:t>
      </w:r>
      <w:r w:rsidR="00D42B34">
        <w:rPr>
          <w:sz w:val="22"/>
          <w:lang w:val="en-US" w:eastAsia="zh-CN"/>
        </w:rPr>
        <w:t xml:space="preserve">. </w:t>
      </w:r>
      <w:r w:rsidR="00E70D40">
        <w:rPr>
          <w:sz w:val="22"/>
          <w:lang w:val="en-US" w:eastAsia="zh-CN"/>
        </w:rPr>
        <w:t xml:space="preserve">Otherwise, it will check whether the RA-SDT criteria </w:t>
      </w:r>
      <w:r w:rsidR="00904250">
        <w:rPr>
          <w:sz w:val="22"/>
          <w:lang w:val="en-US" w:eastAsia="zh-CN"/>
        </w:rPr>
        <w:t>is</w:t>
      </w:r>
      <w:r w:rsidR="00E70D40">
        <w:rPr>
          <w:sz w:val="22"/>
          <w:lang w:val="en-US" w:eastAsia="zh-CN"/>
        </w:rPr>
        <w:t xml:space="preserve"> met or not, </w:t>
      </w:r>
      <w:r w:rsidR="00904250">
        <w:rPr>
          <w:sz w:val="22"/>
          <w:lang w:val="en-US" w:eastAsia="zh-CN"/>
        </w:rPr>
        <w:t>and if so</w:t>
      </w:r>
      <w:r w:rsidR="00E70D40">
        <w:rPr>
          <w:sz w:val="22"/>
          <w:lang w:val="en-US" w:eastAsia="zh-CN"/>
        </w:rPr>
        <w:t xml:space="preserve">, the UE will trigger the RA-SDT procedure. If both </w:t>
      </w:r>
      <w:r w:rsidR="00904250">
        <w:rPr>
          <w:sz w:val="22"/>
          <w:lang w:val="en-US" w:eastAsia="zh-CN"/>
        </w:rPr>
        <w:t xml:space="preserve">CG-SDT and RA-SDT cannot be selected, it will fallback to non-SDT transmission. </w:t>
      </w:r>
    </w:p>
    <w:p w:rsidR="000D404A" w:rsidRDefault="000D404A" w:rsidP="000D404A">
      <w:pPr>
        <w:overflowPunct w:val="0"/>
        <w:autoSpaceDE w:val="0"/>
        <w:autoSpaceDN w:val="0"/>
        <w:adjustRightInd w:val="0"/>
        <w:spacing w:before="180" w:line="360" w:lineRule="auto"/>
        <w:jc w:val="both"/>
        <w:textAlignment w:val="baseline"/>
        <w:rPr>
          <w:b/>
          <w:sz w:val="22"/>
          <w:lang w:val="en-US" w:eastAsia="zh-CN"/>
        </w:rPr>
      </w:pPr>
      <w:r>
        <w:rPr>
          <w:b/>
          <w:sz w:val="22"/>
          <w:lang w:val="en-US" w:eastAsia="zh-CN"/>
        </w:rPr>
        <w:t>Observation 1: UE prioritize</w:t>
      </w:r>
      <w:r w:rsidR="00384B5D">
        <w:rPr>
          <w:b/>
          <w:sz w:val="22"/>
          <w:lang w:val="en-US" w:eastAsia="zh-CN"/>
        </w:rPr>
        <w:t>s</w:t>
      </w:r>
      <w:r>
        <w:rPr>
          <w:b/>
          <w:sz w:val="22"/>
          <w:lang w:val="en-US" w:eastAsia="zh-CN"/>
        </w:rPr>
        <w:t xml:space="preserve"> CG-SDT over RA-SDT when initiating the SDT procedure. </w:t>
      </w:r>
    </w:p>
    <w:p w:rsidR="00690876" w:rsidRPr="00690876" w:rsidRDefault="00690876" w:rsidP="00690876">
      <w:pPr>
        <w:pStyle w:val="20"/>
        <w:numPr>
          <w:ilvl w:val="1"/>
          <w:numId w:val="49"/>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Details of SDT procedure</w:t>
      </w:r>
    </w:p>
    <w:p w:rsidR="00FB2441" w:rsidRPr="00FB2441" w:rsidRDefault="000F472C" w:rsidP="00214860">
      <w:pPr>
        <w:overflowPunct w:val="0"/>
        <w:autoSpaceDE w:val="0"/>
        <w:autoSpaceDN w:val="0"/>
        <w:adjustRightInd w:val="0"/>
        <w:spacing w:before="180" w:line="360" w:lineRule="auto"/>
        <w:jc w:val="both"/>
        <w:textAlignment w:val="baseline"/>
        <w:rPr>
          <w:b/>
          <w:sz w:val="22"/>
          <w:u w:val="single"/>
          <w:lang w:val="en-US" w:eastAsia="zh-CN"/>
        </w:rPr>
      </w:pPr>
      <w:r>
        <w:rPr>
          <w:b/>
          <w:sz w:val="22"/>
          <w:u w:val="single"/>
          <w:lang w:val="en-US" w:eastAsia="zh-CN"/>
        </w:rPr>
        <w:t>CG-SDT and RA-SDT selection</w:t>
      </w:r>
    </w:p>
    <w:p w:rsidR="00214860" w:rsidRDefault="007761B3" w:rsidP="00214860">
      <w:pPr>
        <w:overflowPunct w:val="0"/>
        <w:autoSpaceDE w:val="0"/>
        <w:autoSpaceDN w:val="0"/>
        <w:adjustRightInd w:val="0"/>
        <w:spacing w:before="180" w:line="360" w:lineRule="auto"/>
        <w:jc w:val="both"/>
        <w:textAlignment w:val="baseline"/>
        <w:rPr>
          <w:sz w:val="22"/>
          <w:lang w:val="pl-PL" w:eastAsia="zh-CN"/>
        </w:rPr>
      </w:pPr>
      <w:r w:rsidRPr="007761B3">
        <w:rPr>
          <w:sz w:val="22"/>
          <w:lang w:val="pl-PL" w:eastAsia="zh-CN"/>
        </w:rPr>
        <w:t>The CG-SDT</w:t>
      </w:r>
      <w:r>
        <w:rPr>
          <w:sz w:val="22"/>
          <w:lang w:val="pl-PL" w:eastAsia="zh-CN"/>
        </w:rPr>
        <w:t xml:space="preserve"> criteria including the following two parts:</w:t>
      </w:r>
    </w:p>
    <w:p w:rsidR="007761B3" w:rsidRPr="007E575F" w:rsidRDefault="007761B3" w:rsidP="007761B3">
      <w:pPr>
        <w:pStyle w:val="af5"/>
        <w:numPr>
          <w:ilvl w:val="0"/>
          <w:numId w:val="59"/>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UL</w:t>
      </w:r>
      <w:r w:rsidRPr="007761B3">
        <w:rPr>
          <w:rFonts w:ascii="Times New Roman" w:eastAsia="宋体" w:hAnsi="Times New Roman" w:cs="Times New Roman"/>
          <w:szCs w:val="20"/>
          <w:lang w:eastAsia="zh-CN"/>
        </w:rPr>
        <w:t xml:space="preserve"> avaliable data volume &lt;= data volume threshold</w:t>
      </w:r>
      <w:r>
        <w:rPr>
          <w:rFonts w:ascii="Times New Roman" w:eastAsia="宋体" w:hAnsi="Times New Roman" w:cs="Times New Roman"/>
          <w:szCs w:val="20"/>
          <w:lang w:eastAsia="zh-CN"/>
        </w:rPr>
        <w:t xml:space="preserve"> </w:t>
      </w:r>
      <w:r w:rsidR="007E575F">
        <w:rPr>
          <w:rFonts w:ascii="Times New Roman" w:eastAsia="宋体" w:hAnsi="Times New Roman" w:cs="Times New Roman"/>
          <w:szCs w:val="20"/>
          <w:lang w:eastAsia="zh-CN"/>
        </w:rPr>
        <w:t>(specific for CG-SDT)</w:t>
      </w:r>
    </w:p>
    <w:p w:rsidR="007E575F" w:rsidRPr="007761B3" w:rsidRDefault="007E575F" w:rsidP="007761B3">
      <w:pPr>
        <w:pStyle w:val="af5"/>
        <w:numPr>
          <w:ilvl w:val="0"/>
          <w:numId w:val="59"/>
        </w:numPr>
        <w:overflowPunct w:val="0"/>
        <w:autoSpaceDE w:val="0"/>
        <w:autoSpaceDN w:val="0"/>
        <w:adjustRightInd w:val="0"/>
        <w:spacing w:before="180" w:line="360" w:lineRule="auto"/>
        <w:jc w:val="both"/>
        <w:textAlignment w:val="baseline"/>
        <w:rPr>
          <w:lang w:eastAsia="zh-CN"/>
        </w:rPr>
      </w:pPr>
      <w:r w:rsidRPr="007E575F">
        <w:rPr>
          <w:rFonts w:ascii="Times New Roman" w:eastAsia="宋体" w:hAnsi="Times New Roman" w:cs="Times New Roman"/>
          <w:szCs w:val="20"/>
          <w:lang w:eastAsia="zh-CN"/>
        </w:rPr>
        <w:t>CG-SDT resources are configured</w:t>
      </w:r>
      <w:r w:rsidR="00DA1CFD">
        <w:rPr>
          <w:rFonts w:ascii="Times New Roman" w:eastAsia="宋体" w:hAnsi="Times New Roman" w:cs="Times New Roman"/>
          <w:szCs w:val="20"/>
          <w:lang w:eastAsia="zh-CN"/>
        </w:rPr>
        <w:t xml:space="preserve"> on the selected carrier</w:t>
      </w:r>
      <w:r w:rsidRPr="007E575F">
        <w:rPr>
          <w:rFonts w:ascii="Times New Roman" w:eastAsia="宋体" w:hAnsi="Times New Roman" w:cs="Times New Roman"/>
          <w:szCs w:val="20"/>
          <w:lang w:eastAsia="zh-CN"/>
        </w:rPr>
        <w:t xml:space="preserve"> and valid</w:t>
      </w:r>
      <w:r>
        <w:rPr>
          <w:rFonts w:eastAsia="宋体"/>
          <w:lang w:eastAsia="zh-CN"/>
        </w:rPr>
        <w:t xml:space="preserve"> </w:t>
      </w:r>
    </w:p>
    <w:p w:rsidR="00DA1CFD" w:rsidRDefault="00DA1CFD" w:rsidP="00DA1CFD">
      <w:pPr>
        <w:overflowPunct w:val="0"/>
        <w:autoSpaceDE w:val="0"/>
        <w:autoSpaceDN w:val="0"/>
        <w:adjustRightInd w:val="0"/>
        <w:spacing w:before="180" w:line="360" w:lineRule="auto"/>
        <w:jc w:val="both"/>
        <w:textAlignment w:val="baseline"/>
        <w:rPr>
          <w:sz w:val="22"/>
          <w:lang w:val="pl-PL" w:eastAsia="zh-CN"/>
        </w:rPr>
      </w:pPr>
      <w:r w:rsidRPr="007761B3">
        <w:rPr>
          <w:sz w:val="22"/>
          <w:lang w:val="pl-PL" w:eastAsia="zh-CN"/>
        </w:rPr>
        <w:t xml:space="preserve">The </w:t>
      </w:r>
      <w:r>
        <w:rPr>
          <w:sz w:val="22"/>
          <w:lang w:val="pl-PL" w:eastAsia="zh-CN"/>
        </w:rPr>
        <w:t>RA-</w:t>
      </w:r>
      <w:r w:rsidRPr="007761B3">
        <w:rPr>
          <w:sz w:val="22"/>
          <w:lang w:val="pl-PL" w:eastAsia="zh-CN"/>
        </w:rPr>
        <w:t>SDT</w:t>
      </w:r>
      <w:r>
        <w:rPr>
          <w:sz w:val="22"/>
          <w:lang w:val="pl-PL" w:eastAsia="zh-CN"/>
        </w:rPr>
        <w:t xml:space="preserve"> criteria including the following </w:t>
      </w:r>
      <w:r w:rsidR="003D5B41">
        <w:rPr>
          <w:sz w:val="22"/>
          <w:lang w:val="pl-PL" w:eastAsia="zh-CN"/>
        </w:rPr>
        <w:t>three</w:t>
      </w:r>
      <w:r>
        <w:rPr>
          <w:sz w:val="22"/>
          <w:lang w:val="pl-PL" w:eastAsia="zh-CN"/>
        </w:rPr>
        <w:t xml:space="preserve"> parts:</w:t>
      </w:r>
    </w:p>
    <w:p w:rsidR="00DA1CFD" w:rsidRPr="007E575F" w:rsidRDefault="00DA1CFD" w:rsidP="00DA1CFD">
      <w:pPr>
        <w:pStyle w:val="af5"/>
        <w:numPr>
          <w:ilvl w:val="0"/>
          <w:numId w:val="59"/>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UL</w:t>
      </w:r>
      <w:r w:rsidRPr="007761B3">
        <w:rPr>
          <w:rFonts w:ascii="Times New Roman" w:eastAsia="宋体" w:hAnsi="Times New Roman" w:cs="Times New Roman"/>
          <w:szCs w:val="20"/>
          <w:lang w:eastAsia="zh-CN"/>
        </w:rPr>
        <w:t xml:space="preserve"> avaliable data volume &lt;= data volume threshold</w:t>
      </w:r>
      <w:r>
        <w:rPr>
          <w:rFonts w:ascii="Times New Roman" w:eastAsia="宋体" w:hAnsi="Times New Roman" w:cs="Times New Roman"/>
          <w:szCs w:val="20"/>
          <w:lang w:eastAsia="zh-CN"/>
        </w:rPr>
        <w:t xml:space="preserve"> (specific for RA-SDT)</w:t>
      </w:r>
    </w:p>
    <w:p w:rsidR="00DA1CFD" w:rsidRPr="00DA1CFD" w:rsidRDefault="00DA1CFD" w:rsidP="00DA1CFD">
      <w:pPr>
        <w:pStyle w:val="af5"/>
        <w:numPr>
          <w:ilvl w:val="0"/>
          <w:numId w:val="59"/>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2 step RA-SDT</w:t>
      </w:r>
      <w:r w:rsidRPr="007E575F">
        <w:rPr>
          <w:rFonts w:ascii="Times New Roman" w:eastAsia="宋体" w:hAnsi="Times New Roman" w:cs="Times New Roman"/>
          <w:szCs w:val="20"/>
          <w:lang w:eastAsia="zh-CN"/>
        </w:rPr>
        <w:t xml:space="preserve"> resources are configured </w:t>
      </w:r>
      <w:r>
        <w:rPr>
          <w:rFonts w:ascii="Times New Roman" w:eastAsia="宋体" w:hAnsi="Times New Roman" w:cs="Times New Roman"/>
          <w:szCs w:val="20"/>
          <w:lang w:eastAsia="zh-CN"/>
        </w:rPr>
        <w:t>on the selected carrier</w:t>
      </w:r>
      <w:r w:rsidRPr="007E575F">
        <w:rPr>
          <w:rFonts w:ascii="Times New Roman" w:eastAsia="宋体" w:hAnsi="Times New Roman" w:cs="Times New Roman"/>
          <w:szCs w:val="20"/>
          <w:lang w:eastAsia="zh-CN"/>
        </w:rPr>
        <w:t xml:space="preserve"> </w:t>
      </w:r>
      <w:r>
        <w:rPr>
          <w:rFonts w:ascii="Times New Roman" w:eastAsia="宋体" w:hAnsi="Times New Roman" w:cs="Times New Roman"/>
          <w:szCs w:val="20"/>
          <w:lang w:eastAsia="zh-CN"/>
        </w:rPr>
        <w:t xml:space="preserve">and the RSRP threshold of 2 </w:t>
      </w:r>
      <w:r>
        <w:rPr>
          <w:rFonts w:ascii="Times New Roman" w:eastAsia="宋体" w:hAnsi="Times New Roman" w:cs="Times New Roman" w:hint="eastAsia"/>
          <w:szCs w:val="20"/>
          <w:lang w:eastAsia="zh-CN"/>
        </w:rPr>
        <w:t>step</w:t>
      </w:r>
      <w:r>
        <w:rPr>
          <w:rFonts w:ascii="Times New Roman" w:eastAsia="宋体" w:hAnsi="Times New Roman" w:cs="Times New Roman"/>
          <w:szCs w:val="20"/>
          <w:lang w:eastAsia="zh-CN"/>
        </w:rPr>
        <w:t xml:space="preserve"> RA-SDT is met</w:t>
      </w:r>
    </w:p>
    <w:p w:rsidR="00DA1CFD" w:rsidRPr="00DA1CFD" w:rsidRDefault="00DA1CFD" w:rsidP="00DA1CFD">
      <w:pPr>
        <w:pStyle w:val="af5"/>
        <w:numPr>
          <w:ilvl w:val="0"/>
          <w:numId w:val="59"/>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4 step RA-SDT</w:t>
      </w:r>
      <w:r w:rsidRPr="007E575F">
        <w:rPr>
          <w:rFonts w:ascii="Times New Roman" w:eastAsia="宋体" w:hAnsi="Times New Roman" w:cs="Times New Roman"/>
          <w:szCs w:val="20"/>
          <w:lang w:eastAsia="zh-CN"/>
        </w:rPr>
        <w:t xml:space="preserve"> resources are configured </w:t>
      </w:r>
      <w:r>
        <w:rPr>
          <w:rFonts w:ascii="Times New Roman" w:eastAsia="宋体" w:hAnsi="Times New Roman" w:cs="Times New Roman"/>
          <w:szCs w:val="20"/>
          <w:lang w:eastAsia="zh-CN"/>
        </w:rPr>
        <w:t>on the selected carrier</w:t>
      </w:r>
      <w:r w:rsidRPr="007E575F">
        <w:rPr>
          <w:rFonts w:ascii="Times New Roman" w:eastAsia="宋体" w:hAnsi="Times New Roman" w:cs="Times New Roman"/>
          <w:szCs w:val="20"/>
          <w:lang w:eastAsia="zh-CN"/>
        </w:rPr>
        <w:t xml:space="preserve"> </w:t>
      </w:r>
      <w:r>
        <w:rPr>
          <w:rFonts w:ascii="Times New Roman" w:eastAsia="宋体" w:hAnsi="Times New Roman" w:cs="Times New Roman"/>
          <w:szCs w:val="20"/>
          <w:lang w:eastAsia="zh-CN"/>
        </w:rPr>
        <w:t xml:space="preserve">and the RSRP threshold of 4 </w:t>
      </w:r>
      <w:r>
        <w:rPr>
          <w:rFonts w:ascii="Times New Roman" w:eastAsia="宋体" w:hAnsi="Times New Roman" w:cs="Times New Roman" w:hint="eastAsia"/>
          <w:szCs w:val="20"/>
          <w:lang w:eastAsia="zh-CN"/>
        </w:rPr>
        <w:t>step</w:t>
      </w:r>
      <w:r>
        <w:rPr>
          <w:rFonts w:ascii="Times New Roman" w:eastAsia="宋体" w:hAnsi="Times New Roman" w:cs="Times New Roman"/>
          <w:szCs w:val="20"/>
          <w:lang w:eastAsia="zh-CN"/>
        </w:rPr>
        <w:t xml:space="preserve"> RA-SDT is met</w:t>
      </w:r>
    </w:p>
    <w:p w:rsidR="003F6A8B" w:rsidRDefault="00695437" w:rsidP="003F6A8B">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T</w:t>
      </w:r>
      <w:r>
        <w:rPr>
          <w:sz w:val="22"/>
          <w:lang w:val="pl-PL" w:eastAsia="zh-CN"/>
        </w:rPr>
        <w:t>here are some details</w:t>
      </w:r>
      <w:r w:rsidR="00427E5F">
        <w:rPr>
          <w:sz w:val="22"/>
          <w:lang w:val="pl-PL" w:eastAsia="zh-CN"/>
        </w:rPr>
        <w:t xml:space="preserve"> </w:t>
      </w:r>
      <w:r>
        <w:rPr>
          <w:sz w:val="22"/>
          <w:lang w:val="pl-PL" w:eastAsia="zh-CN"/>
        </w:rPr>
        <w:t xml:space="preserve">need to be clarified. Firstly, the data volume threshold of CG-SDT </w:t>
      </w:r>
      <w:r w:rsidR="003F6A8B">
        <w:rPr>
          <w:sz w:val="22"/>
          <w:lang w:val="pl-PL" w:eastAsia="zh-CN"/>
        </w:rPr>
        <w:t>is</w:t>
      </w:r>
      <w:r>
        <w:rPr>
          <w:sz w:val="22"/>
          <w:lang w:val="pl-PL" w:eastAsia="zh-CN"/>
        </w:rPr>
        <w:t xml:space="preserve"> different from data volume threshold of RA-SDT. </w:t>
      </w:r>
      <w:r w:rsidR="005A46A9">
        <w:rPr>
          <w:sz w:val="22"/>
          <w:lang w:val="pl-PL" w:eastAsia="zh-CN"/>
        </w:rPr>
        <w:t>Since</w:t>
      </w:r>
      <w:r w:rsidR="003F6A8B">
        <w:rPr>
          <w:sz w:val="22"/>
          <w:lang w:val="pl-PL" w:eastAsia="zh-CN"/>
        </w:rPr>
        <w:t xml:space="preserve"> </w:t>
      </w:r>
      <w:r w:rsidR="003F6A8B" w:rsidRPr="00E829F4">
        <w:rPr>
          <w:sz w:val="22"/>
          <w:lang w:val="pl-PL" w:eastAsia="zh-CN"/>
        </w:rPr>
        <w:t>CG-SDT and RA-SDT may target at different services,</w:t>
      </w:r>
      <w:r w:rsidR="003F6A8B">
        <w:rPr>
          <w:sz w:val="22"/>
          <w:lang w:val="pl-PL" w:eastAsia="zh-CN"/>
        </w:rPr>
        <w:t xml:space="preserve"> </w:t>
      </w:r>
      <w:r w:rsidR="003F6A8B" w:rsidRPr="00E829F4">
        <w:rPr>
          <w:sz w:val="22"/>
          <w:lang w:val="pl-PL" w:eastAsia="zh-CN"/>
        </w:rPr>
        <w:t xml:space="preserve">operators </w:t>
      </w:r>
      <w:r w:rsidR="003F6A8B">
        <w:rPr>
          <w:sz w:val="22"/>
          <w:lang w:val="pl-PL" w:eastAsia="zh-CN"/>
        </w:rPr>
        <w:lastRenderedPageBreak/>
        <w:t>may</w:t>
      </w:r>
      <w:r w:rsidR="003F6A8B" w:rsidRPr="00E829F4">
        <w:rPr>
          <w:sz w:val="22"/>
          <w:lang w:val="pl-PL" w:eastAsia="zh-CN"/>
        </w:rPr>
        <w:t xml:space="preserve"> need some flexibility</w:t>
      </w:r>
      <w:r w:rsidR="003F6A8B">
        <w:rPr>
          <w:sz w:val="22"/>
          <w:lang w:val="pl-PL" w:eastAsia="zh-CN"/>
        </w:rPr>
        <w:t xml:space="preserve"> to configure seprate data volume threshold </w:t>
      </w:r>
      <w:r w:rsidR="00427E5F">
        <w:rPr>
          <w:sz w:val="22"/>
          <w:lang w:val="pl-PL" w:eastAsia="zh-CN"/>
        </w:rPr>
        <w:t>for</w:t>
      </w:r>
      <w:r w:rsidR="003F6A8B">
        <w:rPr>
          <w:sz w:val="22"/>
          <w:lang w:val="pl-PL" w:eastAsia="zh-CN"/>
        </w:rPr>
        <w:t xml:space="preserve"> CG-SDT and SA-SDT </w:t>
      </w:r>
      <w:r w:rsidR="003F6A8B" w:rsidRPr="00E829F4">
        <w:rPr>
          <w:sz w:val="22"/>
          <w:lang w:val="pl-PL" w:eastAsia="zh-CN"/>
        </w:rPr>
        <w:t>to optimize service experience.</w:t>
      </w:r>
    </w:p>
    <w:p w:rsidR="003F6A8B" w:rsidRPr="00FB2441" w:rsidRDefault="003F6A8B" w:rsidP="003F6A8B">
      <w:pPr>
        <w:overflowPunct w:val="0"/>
        <w:autoSpaceDE w:val="0"/>
        <w:autoSpaceDN w:val="0"/>
        <w:adjustRightInd w:val="0"/>
        <w:spacing w:before="180" w:line="360" w:lineRule="auto"/>
        <w:jc w:val="both"/>
        <w:textAlignment w:val="baseline"/>
        <w:rPr>
          <w:b/>
          <w:sz w:val="22"/>
          <w:lang w:val="en-US" w:eastAsia="zh-CN"/>
        </w:rPr>
      </w:pPr>
      <w:r w:rsidRPr="00923B90">
        <w:rPr>
          <w:rFonts w:hint="eastAsia"/>
          <w:b/>
          <w:sz w:val="22"/>
          <w:lang w:val="en-US" w:eastAsia="zh-CN"/>
        </w:rPr>
        <w:t>P</w:t>
      </w:r>
      <w:r w:rsidRPr="00923B90">
        <w:rPr>
          <w:b/>
          <w:sz w:val="22"/>
          <w:lang w:val="en-US" w:eastAsia="zh-CN"/>
        </w:rPr>
        <w:t xml:space="preserve">roposal </w:t>
      </w:r>
      <w:r>
        <w:rPr>
          <w:b/>
          <w:sz w:val="22"/>
          <w:lang w:val="en-US" w:eastAsia="zh-CN"/>
        </w:rPr>
        <w:t>3</w:t>
      </w:r>
      <w:r w:rsidRPr="00923B90">
        <w:rPr>
          <w:b/>
          <w:sz w:val="22"/>
          <w:lang w:val="en-US" w:eastAsia="zh-CN"/>
        </w:rPr>
        <w:t xml:space="preserve">: </w:t>
      </w:r>
      <w:r>
        <w:rPr>
          <w:b/>
          <w:sz w:val="22"/>
          <w:lang w:val="en-US" w:eastAsia="zh-CN"/>
        </w:rPr>
        <w:t>T</w:t>
      </w:r>
      <w:r w:rsidRPr="00695437">
        <w:rPr>
          <w:b/>
          <w:sz w:val="22"/>
          <w:lang w:val="en-US" w:eastAsia="zh-CN"/>
        </w:rPr>
        <w:t xml:space="preserve">he data volume threshold of CG-SDT and SA-SDT </w:t>
      </w:r>
      <w:r>
        <w:rPr>
          <w:b/>
          <w:sz w:val="22"/>
          <w:lang w:val="en-US" w:eastAsia="zh-CN"/>
        </w:rPr>
        <w:t>may</w:t>
      </w:r>
      <w:r w:rsidRPr="00695437">
        <w:rPr>
          <w:b/>
          <w:sz w:val="22"/>
          <w:lang w:val="en-US" w:eastAsia="zh-CN"/>
        </w:rPr>
        <w:t xml:space="preserve"> be configured separately</w:t>
      </w:r>
      <w:r>
        <w:rPr>
          <w:b/>
          <w:sz w:val="22"/>
          <w:lang w:val="en-US" w:eastAsia="zh-CN"/>
        </w:rPr>
        <w:t xml:space="preserve">. </w:t>
      </w:r>
    </w:p>
    <w:p w:rsidR="00717472" w:rsidRPr="00717472" w:rsidRDefault="00717472" w:rsidP="000400C4">
      <w:pPr>
        <w:overflowPunct w:val="0"/>
        <w:autoSpaceDE w:val="0"/>
        <w:autoSpaceDN w:val="0"/>
        <w:adjustRightInd w:val="0"/>
        <w:spacing w:before="180" w:line="360" w:lineRule="auto"/>
        <w:jc w:val="both"/>
        <w:textAlignment w:val="baseline"/>
        <w:rPr>
          <w:b/>
          <w:sz w:val="22"/>
          <w:u w:val="single"/>
          <w:lang w:val="en-US" w:eastAsia="zh-CN"/>
        </w:rPr>
      </w:pPr>
      <w:r>
        <w:rPr>
          <w:b/>
          <w:sz w:val="22"/>
          <w:u w:val="single"/>
          <w:lang w:val="en-US" w:eastAsia="zh-CN"/>
        </w:rPr>
        <w:t>RSRP for RA</w:t>
      </w:r>
      <w:r w:rsidR="00C85F7F">
        <w:rPr>
          <w:b/>
          <w:sz w:val="22"/>
          <w:u w:val="single"/>
          <w:lang w:val="en-US" w:eastAsia="zh-CN"/>
        </w:rPr>
        <w:t xml:space="preserve"> type</w:t>
      </w:r>
      <w:r>
        <w:rPr>
          <w:b/>
          <w:sz w:val="22"/>
          <w:u w:val="single"/>
          <w:lang w:val="en-US" w:eastAsia="zh-CN"/>
        </w:rPr>
        <w:t xml:space="preserve"> selection</w:t>
      </w:r>
    </w:p>
    <w:p w:rsidR="00695437" w:rsidRPr="00695437" w:rsidRDefault="00DD1E67" w:rsidP="000400C4">
      <w:pPr>
        <w:overflowPunct w:val="0"/>
        <w:autoSpaceDE w:val="0"/>
        <w:autoSpaceDN w:val="0"/>
        <w:adjustRightInd w:val="0"/>
        <w:spacing w:before="180" w:line="360" w:lineRule="auto"/>
        <w:jc w:val="both"/>
        <w:textAlignment w:val="baseline"/>
        <w:rPr>
          <w:sz w:val="22"/>
          <w:lang w:val="en-US" w:eastAsia="zh-CN"/>
        </w:rPr>
      </w:pPr>
      <w:r>
        <w:rPr>
          <w:rFonts w:hint="eastAsia"/>
          <w:sz w:val="22"/>
          <w:lang w:val="en-US" w:eastAsia="zh-CN"/>
        </w:rPr>
        <w:t>I</w:t>
      </w:r>
      <w:r>
        <w:rPr>
          <w:sz w:val="22"/>
          <w:lang w:val="en-US" w:eastAsia="zh-CN"/>
        </w:rPr>
        <w:t>n addition, considering that the RACH resource of SDT and non-SDT are configured separately, the</w:t>
      </w:r>
      <w:r w:rsidR="000F472C">
        <w:rPr>
          <w:sz w:val="22"/>
          <w:lang w:val="en-US" w:eastAsia="zh-CN"/>
        </w:rPr>
        <w:t xml:space="preserve"> RSRP threshold for RA</w:t>
      </w:r>
      <w:r w:rsidR="00C85F7F">
        <w:rPr>
          <w:sz w:val="22"/>
          <w:lang w:val="en-US" w:eastAsia="zh-CN"/>
        </w:rPr>
        <w:t xml:space="preserve"> </w:t>
      </w:r>
      <w:r w:rsidR="000F472C">
        <w:rPr>
          <w:sz w:val="22"/>
          <w:lang w:val="en-US" w:eastAsia="zh-CN"/>
        </w:rPr>
        <w:t xml:space="preserve">type selection </w:t>
      </w:r>
      <w:r w:rsidR="003808E6">
        <w:rPr>
          <w:sz w:val="22"/>
          <w:lang w:val="en-US" w:eastAsia="zh-CN"/>
        </w:rPr>
        <w:t>should be</w:t>
      </w:r>
      <w:r w:rsidR="000F472C">
        <w:rPr>
          <w:sz w:val="22"/>
          <w:lang w:val="en-US" w:eastAsia="zh-CN"/>
        </w:rPr>
        <w:t xml:space="preserve"> specific for SDT. Furthermore, when it comes to RA-type selection, the UE should make </w:t>
      </w:r>
      <w:r w:rsidR="00BE49D8">
        <w:rPr>
          <w:sz w:val="22"/>
          <w:lang w:val="en-US" w:eastAsia="zh-CN"/>
        </w:rPr>
        <w:t xml:space="preserve">decision between 2 step RA-SDT and 4 step RA-SDT based on RSRP threshold. </w:t>
      </w:r>
      <w:r w:rsidR="000B0C5A">
        <w:rPr>
          <w:rFonts w:hint="eastAsia"/>
          <w:sz w:val="22"/>
          <w:lang w:val="en-US" w:eastAsia="zh-CN"/>
        </w:rPr>
        <w:t>If</w:t>
      </w:r>
      <w:r w:rsidR="000B0C5A">
        <w:rPr>
          <w:sz w:val="22"/>
          <w:lang w:val="en-US" w:eastAsia="zh-CN"/>
        </w:rPr>
        <w:t xml:space="preserve"> the RA-SDT criteria cannot be satisfied, it will </w:t>
      </w:r>
      <w:r w:rsidR="004700E1">
        <w:rPr>
          <w:sz w:val="22"/>
          <w:lang w:val="pl-PL" w:eastAsia="zh-CN"/>
        </w:rPr>
        <w:t xml:space="preserve">fallback </w:t>
      </w:r>
      <w:r w:rsidR="000B0C5A">
        <w:rPr>
          <w:sz w:val="22"/>
          <w:lang w:val="en-US" w:eastAsia="zh-CN"/>
        </w:rPr>
        <w:t xml:space="preserve">to </w:t>
      </w:r>
      <w:r w:rsidR="004700E1">
        <w:rPr>
          <w:rFonts w:hint="eastAsia"/>
          <w:sz w:val="22"/>
          <w:lang w:val="en-US" w:eastAsia="zh-CN"/>
        </w:rPr>
        <w:t>the</w:t>
      </w:r>
      <w:r w:rsidR="004700E1">
        <w:rPr>
          <w:sz w:val="22"/>
          <w:lang w:val="en-US" w:eastAsia="zh-CN"/>
        </w:rPr>
        <w:t xml:space="preserve"> legacy </w:t>
      </w:r>
      <w:r w:rsidR="000B0C5A">
        <w:rPr>
          <w:sz w:val="22"/>
          <w:lang w:val="en-US" w:eastAsia="zh-CN"/>
        </w:rPr>
        <w:t xml:space="preserve">RRC resume procedure. </w:t>
      </w:r>
    </w:p>
    <w:p w:rsidR="007E0CEF" w:rsidRDefault="00BE49D8" w:rsidP="000400C4">
      <w:pPr>
        <w:overflowPunct w:val="0"/>
        <w:autoSpaceDE w:val="0"/>
        <w:autoSpaceDN w:val="0"/>
        <w:adjustRightInd w:val="0"/>
        <w:spacing w:before="180" w:line="360" w:lineRule="auto"/>
        <w:jc w:val="both"/>
        <w:textAlignment w:val="baseline"/>
        <w:rPr>
          <w:b/>
          <w:sz w:val="22"/>
          <w:lang w:val="en-US" w:eastAsia="zh-CN"/>
        </w:rPr>
      </w:pPr>
      <w:r w:rsidRPr="00923B90">
        <w:rPr>
          <w:rFonts w:hint="eastAsia"/>
          <w:b/>
          <w:sz w:val="22"/>
          <w:lang w:val="en-US" w:eastAsia="zh-CN"/>
        </w:rPr>
        <w:t>P</w:t>
      </w:r>
      <w:r w:rsidRPr="00923B90">
        <w:rPr>
          <w:b/>
          <w:sz w:val="22"/>
          <w:lang w:val="en-US" w:eastAsia="zh-CN"/>
        </w:rPr>
        <w:t xml:space="preserve">roposal </w:t>
      </w:r>
      <w:r>
        <w:rPr>
          <w:b/>
          <w:sz w:val="22"/>
          <w:lang w:val="en-US" w:eastAsia="zh-CN"/>
        </w:rPr>
        <w:t>4</w:t>
      </w:r>
      <w:r w:rsidRPr="00923B90">
        <w:rPr>
          <w:b/>
          <w:sz w:val="22"/>
          <w:lang w:val="en-US" w:eastAsia="zh-CN"/>
        </w:rPr>
        <w:t>:</w:t>
      </w:r>
      <w:r w:rsidR="007E0CEF">
        <w:rPr>
          <w:b/>
          <w:sz w:val="22"/>
          <w:lang w:val="en-US" w:eastAsia="zh-CN"/>
        </w:rPr>
        <w:t xml:space="preserve"> T</w:t>
      </w:r>
      <w:r w:rsidR="007E0CEF" w:rsidRPr="007E0CEF">
        <w:rPr>
          <w:b/>
          <w:sz w:val="22"/>
          <w:lang w:val="en-US" w:eastAsia="zh-CN"/>
        </w:rPr>
        <w:t>he RSRP threshold for RA</w:t>
      </w:r>
      <w:r w:rsidR="00C85F7F">
        <w:rPr>
          <w:b/>
          <w:sz w:val="22"/>
          <w:lang w:val="en-US" w:eastAsia="zh-CN"/>
        </w:rPr>
        <w:t xml:space="preserve"> </w:t>
      </w:r>
      <w:r w:rsidR="007E0CEF" w:rsidRPr="007E0CEF">
        <w:rPr>
          <w:b/>
          <w:sz w:val="22"/>
          <w:lang w:val="en-US" w:eastAsia="zh-CN"/>
        </w:rPr>
        <w:t>type selection should be specific for SDT</w:t>
      </w:r>
      <w:r w:rsidR="001D2777">
        <w:rPr>
          <w:b/>
          <w:sz w:val="22"/>
          <w:lang w:val="en-US" w:eastAsia="zh-CN"/>
        </w:rPr>
        <w:t>.</w:t>
      </w:r>
    </w:p>
    <w:p w:rsidR="00C70720" w:rsidRPr="00717472" w:rsidRDefault="00C70720" w:rsidP="00C70720">
      <w:pPr>
        <w:overflowPunct w:val="0"/>
        <w:autoSpaceDE w:val="0"/>
        <w:autoSpaceDN w:val="0"/>
        <w:adjustRightInd w:val="0"/>
        <w:spacing w:before="180" w:line="360" w:lineRule="auto"/>
        <w:jc w:val="both"/>
        <w:textAlignment w:val="baseline"/>
        <w:rPr>
          <w:b/>
          <w:sz w:val="22"/>
          <w:u w:val="single"/>
          <w:lang w:val="en-US" w:eastAsia="zh-CN"/>
        </w:rPr>
      </w:pPr>
      <w:r>
        <w:rPr>
          <w:b/>
          <w:sz w:val="22"/>
          <w:u w:val="single"/>
          <w:lang w:val="en-US" w:eastAsia="zh-CN"/>
        </w:rPr>
        <w:t>No switching between CG-SDT and RA-SDT</w:t>
      </w:r>
    </w:p>
    <w:p w:rsidR="003A1BBC" w:rsidRDefault="003A1BBC" w:rsidP="003022E6">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During the CG-SDT transmission, when the CG-SDT becomes not available or the TA timer expires, the CG-SDT procedure will be failed. Some companies </w:t>
      </w:r>
      <w:r w:rsidR="001D2777">
        <w:rPr>
          <w:sz w:val="22"/>
          <w:lang w:val="pl-PL" w:eastAsia="zh-CN"/>
        </w:rPr>
        <w:t>suggested</w:t>
      </w:r>
      <w:r>
        <w:rPr>
          <w:sz w:val="22"/>
          <w:lang w:val="pl-PL" w:eastAsia="zh-CN"/>
        </w:rPr>
        <w:t xml:space="preserve"> that when the CG-SDT procedure fails, it will switch to RA-SDT procedure. </w:t>
      </w:r>
      <w:r w:rsidR="006838F0">
        <w:rPr>
          <w:rFonts w:hint="eastAsia"/>
          <w:sz w:val="22"/>
          <w:lang w:val="pl-PL" w:eastAsia="zh-CN"/>
        </w:rPr>
        <w:t>H</w:t>
      </w:r>
      <w:r w:rsidR="006838F0">
        <w:rPr>
          <w:sz w:val="22"/>
          <w:lang w:val="pl-PL" w:eastAsia="zh-CN"/>
        </w:rPr>
        <w:t xml:space="preserve">owever, once the CG-SDT fails, the retransmission will be triggered to recovery the SDT transmission. If </w:t>
      </w:r>
      <w:r>
        <w:rPr>
          <w:sz w:val="22"/>
          <w:lang w:val="pl-PL" w:eastAsia="zh-CN"/>
        </w:rPr>
        <w:t xml:space="preserve">the initial transmission and multiple retransmission fail, the wireless link </w:t>
      </w:r>
      <w:r w:rsidR="004D7003">
        <w:rPr>
          <w:sz w:val="22"/>
          <w:lang w:val="pl-PL" w:eastAsia="zh-CN"/>
        </w:rPr>
        <w:t xml:space="preserve">condition </w:t>
      </w:r>
      <w:r>
        <w:rPr>
          <w:sz w:val="22"/>
          <w:lang w:val="pl-PL" w:eastAsia="zh-CN"/>
        </w:rPr>
        <w:t xml:space="preserve">will </w:t>
      </w:r>
      <w:r w:rsidR="001D2777">
        <w:rPr>
          <w:sz w:val="22"/>
          <w:lang w:val="pl-PL" w:eastAsia="zh-CN"/>
        </w:rPr>
        <w:t>be too poor to support</w:t>
      </w:r>
      <w:r>
        <w:rPr>
          <w:sz w:val="22"/>
          <w:lang w:val="pl-PL" w:eastAsia="zh-CN"/>
        </w:rPr>
        <w:t xml:space="preserve"> </w:t>
      </w:r>
      <w:r w:rsidR="001D2777">
        <w:rPr>
          <w:sz w:val="22"/>
          <w:lang w:val="pl-PL" w:eastAsia="zh-CN"/>
        </w:rPr>
        <w:t xml:space="preserve">the </w:t>
      </w:r>
      <w:r w:rsidRPr="003A1BBC">
        <w:rPr>
          <w:sz w:val="22"/>
          <w:lang w:val="pl-PL" w:eastAsia="zh-CN"/>
        </w:rPr>
        <w:t xml:space="preserve">RA-SDT </w:t>
      </w:r>
      <w:r w:rsidR="001D2777">
        <w:rPr>
          <w:sz w:val="22"/>
          <w:lang w:val="pl-PL" w:eastAsia="zh-CN"/>
        </w:rPr>
        <w:t>procedure</w:t>
      </w:r>
      <w:r w:rsidRPr="003A1BBC">
        <w:rPr>
          <w:sz w:val="22"/>
          <w:lang w:val="pl-PL" w:eastAsia="zh-CN"/>
        </w:rPr>
        <w:t xml:space="preserve">. Therefore, there is no need to support switching between CG-SDT and RA-SDT. </w:t>
      </w:r>
      <w:r w:rsidR="00A11240">
        <w:rPr>
          <w:sz w:val="22"/>
          <w:lang w:val="pl-PL" w:eastAsia="zh-CN"/>
        </w:rPr>
        <w:t>When the CG-SDT procedure fails, it will fallback to non-SDT procedure.</w:t>
      </w:r>
    </w:p>
    <w:p w:rsidR="001D2777" w:rsidRDefault="001D2777" w:rsidP="001D2777">
      <w:pPr>
        <w:overflowPunct w:val="0"/>
        <w:autoSpaceDE w:val="0"/>
        <w:autoSpaceDN w:val="0"/>
        <w:adjustRightInd w:val="0"/>
        <w:spacing w:before="180" w:line="360" w:lineRule="auto"/>
        <w:jc w:val="both"/>
        <w:textAlignment w:val="baseline"/>
        <w:rPr>
          <w:b/>
          <w:sz w:val="22"/>
          <w:lang w:val="en-US" w:eastAsia="zh-CN"/>
        </w:rPr>
      </w:pPr>
      <w:r w:rsidRPr="00923B90">
        <w:rPr>
          <w:rFonts w:hint="eastAsia"/>
          <w:b/>
          <w:sz w:val="22"/>
          <w:lang w:val="en-US" w:eastAsia="zh-CN"/>
        </w:rPr>
        <w:t>P</w:t>
      </w:r>
      <w:r w:rsidRPr="00923B90">
        <w:rPr>
          <w:b/>
          <w:sz w:val="22"/>
          <w:lang w:val="en-US" w:eastAsia="zh-CN"/>
        </w:rPr>
        <w:t xml:space="preserve">roposal </w:t>
      </w:r>
      <w:r>
        <w:rPr>
          <w:b/>
          <w:sz w:val="22"/>
          <w:lang w:val="en-US" w:eastAsia="zh-CN"/>
        </w:rPr>
        <w:t>5</w:t>
      </w:r>
      <w:r w:rsidRPr="00923B90">
        <w:rPr>
          <w:b/>
          <w:sz w:val="22"/>
          <w:lang w:val="en-US" w:eastAsia="zh-CN"/>
        </w:rPr>
        <w:t>:</w:t>
      </w:r>
      <w:r>
        <w:rPr>
          <w:b/>
          <w:sz w:val="22"/>
          <w:lang w:val="en-US" w:eastAsia="zh-CN"/>
        </w:rPr>
        <w:t xml:space="preserve"> The </w:t>
      </w:r>
      <w:r w:rsidRPr="001D2777">
        <w:rPr>
          <w:b/>
          <w:sz w:val="22"/>
          <w:lang w:val="en-US" w:eastAsia="zh-CN"/>
        </w:rPr>
        <w:t>is no need to support switching between CG-SDT and RA-SDT</w:t>
      </w:r>
      <w:r>
        <w:rPr>
          <w:b/>
          <w:sz w:val="22"/>
          <w:lang w:val="en-US" w:eastAsia="zh-CN"/>
        </w:rPr>
        <w:t>.</w:t>
      </w:r>
    </w:p>
    <w:p w:rsidR="004700E1" w:rsidRPr="004700E1" w:rsidRDefault="004D7003" w:rsidP="003022E6">
      <w:pPr>
        <w:overflowPunct w:val="0"/>
        <w:autoSpaceDE w:val="0"/>
        <w:autoSpaceDN w:val="0"/>
        <w:adjustRightInd w:val="0"/>
        <w:spacing w:before="180" w:line="360" w:lineRule="auto"/>
        <w:jc w:val="both"/>
        <w:textAlignment w:val="baseline"/>
        <w:rPr>
          <w:b/>
          <w:sz w:val="22"/>
          <w:u w:val="single"/>
          <w:lang w:val="en-US" w:eastAsia="zh-CN"/>
        </w:rPr>
      </w:pPr>
      <w:r>
        <w:rPr>
          <w:b/>
          <w:sz w:val="22"/>
          <w:u w:val="single"/>
          <w:lang w:val="en-US" w:eastAsia="zh-CN"/>
        </w:rPr>
        <w:t>Switching between</w:t>
      </w:r>
      <w:r w:rsidR="00824990">
        <w:rPr>
          <w:b/>
          <w:sz w:val="22"/>
          <w:u w:val="single"/>
          <w:lang w:val="en-US" w:eastAsia="zh-CN"/>
        </w:rPr>
        <w:t xml:space="preserve"> </w:t>
      </w:r>
      <w:r>
        <w:rPr>
          <w:b/>
          <w:sz w:val="22"/>
          <w:u w:val="single"/>
          <w:lang w:val="en-US" w:eastAsia="zh-CN"/>
        </w:rPr>
        <w:t xml:space="preserve">SDT and </w:t>
      </w:r>
      <w:r w:rsidR="00824990">
        <w:rPr>
          <w:b/>
          <w:sz w:val="22"/>
          <w:u w:val="single"/>
          <w:lang w:val="en-US" w:eastAsia="zh-CN"/>
        </w:rPr>
        <w:t>non</w:t>
      </w:r>
      <w:r>
        <w:rPr>
          <w:b/>
          <w:sz w:val="22"/>
          <w:u w:val="single"/>
          <w:lang w:val="en-US" w:eastAsia="zh-CN"/>
        </w:rPr>
        <w:t>-SDT</w:t>
      </w:r>
    </w:p>
    <w:p w:rsidR="00005902" w:rsidRPr="00005902" w:rsidRDefault="004700E1" w:rsidP="00005902">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C</w:t>
      </w:r>
      <w:r>
        <w:rPr>
          <w:sz w:val="22"/>
          <w:lang w:val="pl-PL" w:eastAsia="zh-CN"/>
        </w:rPr>
        <w:t xml:space="preserve">onsidering that the SDT PDU will be </w:t>
      </w:r>
      <w:r w:rsidR="007603EF">
        <w:rPr>
          <w:sz w:val="22"/>
          <w:lang w:val="pl-PL" w:eastAsia="zh-CN"/>
        </w:rPr>
        <w:t xml:space="preserve">larger than the normal non-SDT PDU, </w:t>
      </w:r>
      <w:r w:rsidR="00CF4AF4">
        <w:rPr>
          <w:sz w:val="22"/>
          <w:lang w:val="pl-PL" w:eastAsia="zh-CN"/>
        </w:rPr>
        <w:t xml:space="preserve">there is a </w:t>
      </w:r>
      <w:r w:rsidR="009976FE" w:rsidRPr="009976FE">
        <w:rPr>
          <w:sz w:val="22"/>
          <w:lang w:val="pl-PL" w:eastAsia="zh-CN"/>
        </w:rPr>
        <w:t xml:space="preserve">possibility </w:t>
      </w:r>
      <w:r w:rsidR="00CF4AF4">
        <w:rPr>
          <w:sz w:val="22"/>
          <w:lang w:val="pl-PL" w:eastAsia="zh-CN"/>
        </w:rPr>
        <w:t xml:space="preserve">that the network cannot decode such a big PDU because of the bad link quality. </w:t>
      </w:r>
      <w:r w:rsidR="00E164D5">
        <w:rPr>
          <w:sz w:val="22"/>
          <w:lang w:val="pl-PL" w:eastAsia="zh-CN"/>
        </w:rPr>
        <w:t xml:space="preserve">To resolve it, there are two options can be considered, as </w:t>
      </w:r>
      <w:r w:rsidR="005318FF">
        <w:rPr>
          <w:sz w:val="22"/>
          <w:lang w:val="pl-PL" w:eastAsia="zh-CN"/>
        </w:rPr>
        <w:t>follows</w:t>
      </w:r>
      <w:r w:rsidR="00E164D5">
        <w:rPr>
          <w:sz w:val="22"/>
          <w:lang w:val="pl-PL" w:eastAsia="zh-CN"/>
        </w:rPr>
        <w:t>:</w:t>
      </w:r>
      <w:r w:rsidR="001D3342">
        <w:rPr>
          <w:sz w:val="22"/>
          <w:lang w:val="pl-PL" w:eastAsia="zh-CN"/>
        </w:rPr>
        <w:t xml:space="preserve"> </w:t>
      </w:r>
    </w:p>
    <w:p w:rsidR="005318FF" w:rsidRPr="005318FF" w:rsidRDefault="00A779B2" w:rsidP="00CF4AF4">
      <w:pPr>
        <w:pStyle w:val="af5"/>
        <w:numPr>
          <w:ilvl w:val="0"/>
          <w:numId w:val="59"/>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The network send</w:t>
      </w:r>
      <w:r w:rsidR="000451B8">
        <w:rPr>
          <w:rFonts w:ascii="Times New Roman" w:eastAsia="宋体" w:hAnsi="Times New Roman" w:cs="Times New Roman"/>
          <w:szCs w:val="20"/>
          <w:lang w:eastAsia="zh-CN"/>
        </w:rPr>
        <w:t>s</w:t>
      </w:r>
      <w:r>
        <w:rPr>
          <w:rFonts w:ascii="Times New Roman" w:eastAsia="宋体" w:hAnsi="Times New Roman" w:cs="Times New Roman"/>
          <w:szCs w:val="20"/>
          <w:lang w:eastAsia="zh-CN"/>
        </w:rPr>
        <w:t xml:space="preserve"> an indication to UE to </w:t>
      </w:r>
      <w:r w:rsidR="00250645" w:rsidRPr="00250645">
        <w:rPr>
          <w:rFonts w:ascii="Times New Roman" w:eastAsia="宋体" w:hAnsi="Times New Roman" w:cs="Times New Roman"/>
          <w:szCs w:val="20"/>
          <w:lang w:eastAsia="zh-CN"/>
        </w:rPr>
        <w:t xml:space="preserve">trigger the transition to RRC connection </w:t>
      </w:r>
    </w:p>
    <w:p w:rsidR="005318FF" w:rsidRPr="005318FF" w:rsidRDefault="00250645" w:rsidP="00CF4AF4">
      <w:pPr>
        <w:pStyle w:val="af5"/>
        <w:numPr>
          <w:ilvl w:val="0"/>
          <w:numId w:val="59"/>
        </w:numPr>
        <w:overflowPunct w:val="0"/>
        <w:autoSpaceDE w:val="0"/>
        <w:autoSpaceDN w:val="0"/>
        <w:adjustRightInd w:val="0"/>
        <w:spacing w:before="180" w:line="360" w:lineRule="auto"/>
        <w:jc w:val="both"/>
        <w:textAlignment w:val="baseline"/>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U</w:t>
      </w:r>
      <w:r>
        <w:rPr>
          <w:rFonts w:ascii="Times New Roman" w:eastAsia="宋体" w:hAnsi="Times New Roman" w:cs="Times New Roman"/>
          <w:szCs w:val="20"/>
          <w:lang w:eastAsia="zh-CN"/>
        </w:rPr>
        <w:t xml:space="preserve">E </w:t>
      </w:r>
      <w:r w:rsidRPr="00250645">
        <w:rPr>
          <w:rFonts w:ascii="Times New Roman" w:eastAsia="宋体" w:hAnsi="Times New Roman" w:cs="Times New Roman"/>
          <w:szCs w:val="20"/>
          <w:lang w:eastAsia="zh-CN"/>
        </w:rPr>
        <w:t>trigger</w:t>
      </w:r>
      <w:r w:rsidR="000451B8">
        <w:rPr>
          <w:rFonts w:ascii="Times New Roman" w:eastAsia="宋体" w:hAnsi="Times New Roman" w:cs="Times New Roman"/>
          <w:szCs w:val="20"/>
          <w:lang w:eastAsia="zh-CN"/>
        </w:rPr>
        <w:t>s</w:t>
      </w:r>
      <w:r w:rsidRPr="00250645">
        <w:rPr>
          <w:rFonts w:ascii="Times New Roman" w:eastAsia="宋体" w:hAnsi="Times New Roman" w:cs="Times New Roman"/>
          <w:szCs w:val="20"/>
          <w:lang w:eastAsia="zh-CN"/>
        </w:rPr>
        <w:t xml:space="preserve"> the transition to non-SDT procedure when the UE cannot receive any reply from NW</w:t>
      </w:r>
    </w:p>
    <w:p w:rsidR="005318FF" w:rsidRPr="00DE4CC2" w:rsidRDefault="006F5872" w:rsidP="00250645">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In order to </w:t>
      </w:r>
      <w:r w:rsidR="00BD57FD">
        <w:rPr>
          <w:sz w:val="22"/>
          <w:lang w:val="pl-PL" w:eastAsia="zh-CN"/>
        </w:rPr>
        <w:t>guarantee the</w:t>
      </w:r>
      <w:r w:rsidR="006338A9">
        <w:rPr>
          <w:sz w:val="22"/>
          <w:lang w:val="pl-PL" w:eastAsia="zh-CN"/>
        </w:rPr>
        <w:t xml:space="preserve"> transmission in different cases, </w:t>
      </w:r>
      <w:r w:rsidR="00642A4B">
        <w:rPr>
          <w:sz w:val="22"/>
          <w:lang w:val="pl-PL" w:eastAsia="zh-CN"/>
        </w:rPr>
        <w:t xml:space="preserve"> </w:t>
      </w:r>
      <w:r w:rsidR="00BD57FD">
        <w:rPr>
          <w:sz w:val="22"/>
          <w:lang w:val="pl-PL" w:eastAsia="zh-CN"/>
        </w:rPr>
        <w:t>b</w:t>
      </w:r>
      <w:r w:rsidR="00DE4CC2" w:rsidRPr="00DE4CC2">
        <w:rPr>
          <w:sz w:val="22"/>
          <w:lang w:val="pl-PL" w:eastAsia="zh-CN"/>
        </w:rPr>
        <w:t xml:space="preserve">oth the NW and UE can trigger the switch between SDT and non-SDT </w:t>
      </w:r>
      <w:r>
        <w:rPr>
          <w:sz w:val="22"/>
          <w:lang w:val="pl-PL" w:eastAsia="zh-CN"/>
        </w:rPr>
        <w:t xml:space="preserve">procedure. </w:t>
      </w:r>
    </w:p>
    <w:p w:rsidR="00BD57FD" w:rsidRDefault="00BD57FD" w:rsidP="00BD57FD">
      <w:pPr>
        <w:overflowPunct w:val="0"/>
        <w:autoSpaceDE w:val="0"/>
        <w:autoSpaceDN w:val="0"/>
        <w:adjustRightInd w:val="0"/>
        <w:spacing w:before="180" w:line="360" w:lineRule="auto"/>
        <w:jc w:val="both"/>
        <w:textAlignment w:val="baseline"/>
        <w:rPr>
          <w:b/>
          <w:sz w:val="22"/>
          <w:lang w:val="en-US" w:eastAsia="zh-CN"/>
        </w:rPr>
      </w:pPr>
      <w:r w:rsidRPr="00923B90">
        <w:rPr>
          <w:rFonts w:hint="eastAsia"/>
          <w:b/>
          <w:sz w:val="22"/>
          <w:lang w:val="en-US" w:eastAsia="zh-CN"/>
        </w:rPr>
        <w:t>P</w:t>
      </w:r>
      <w:r w:rsidRPr="00923B90">
        <w:rPr>
          <w:b/>
          <w:sz w:val="22"/>
          <w:lang w:val="en-US" w:eastAsia="zh-CN"/>
        </w:rPr>
        <w:t xml:space="preserve">roposal </w:t>
      </w:r>
      <w:r>
        <w:rPr>
          <w:b/>
          <w:sz w:val="22"/>
          <w:lang w:val="en-US" w:eastAsia="zh-CN"/>
        </w:rPr>
        <w:t>6</w:t>
      </w:r>
      <w:r w:rsidRPr="00923B90">
        <w:rPr>
          <w:b/>
          <w:sz w:val="22"/>
          <w:lang w:val="en-US" w:eastAsia="zh-CN"/>
        </w:rPr>
        <w:t>:</w:t>
      </w:r>
      <w:r>
        <w:rPr>
          <w:b/>
          <w:sz w:val="22"/>
          <w:lang w:val="en-US" w:eastAsia="zh-CN"/>
        </w:rPr>
        <w:t xml:space="preserve"> B</w:t>
      </w:r>
      <w:r w:rsidRPr="00BD57FD">
        <w:rPr>
          <w:b/>
          <w:sz w:val="22"/>
          <w:lang w:val="en-US" w:eastAsia="zh-CN"/>
        </w:rPr>
        <w:t>oth the NW and UE can trigger the switch between SDT and non-SDT procedure</w:t>
      </w:r>
      <w:r>
        <w:rPr>
          <w:b/>
          <w:sz w:val="22"/>
          <w:lang w:val="en-US" w:eastAsia="zh-CN"/>
        </w:rPr>
        <w:t>.</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ab/>
        <w:t>Conclusions</w:t>
      </w:r>
    </w:p>
    <w:p w:rsidR="005C66B9" w:rsidRPr="00567508" w:rsidRDefault="00527415" w:rsidP="00854EF6">
      <w:pPr>
        <w:spacing w:after="0" w:line="360" w:lineRule="auto"/>
        <w:jc w:val="both"/>
        <w:rPr>
          <w:sz w:val="22"/>
          <w:szCs w:val="22"/>
          <w:lang w:eastAsia="zh-CN"/>
        </w:rPr>
      </w:pPr>
      <w:r w:rsidRPr="00567508">
        <w:rPr>
          <w:sz w:val="22"/>
          <w:szCs w:val="22"/>
          <w:lang w:eastAsia="zh-CN"/>
        </w:rPr>
        <w:t xml:space="preserve">The paper </w:t>
      </w:r>
      <w:r w:rsidR="00117D6E">
        <w:rPr>
          <w:sz w:val="22"/>
          <w:szCs w:val="22"/>
          <w:lang w:eastAsia="zh-CN"/>
        </w:rPr>
        <w:t>analyses</w:t>
      </w:r>
      <w:r w:rsidRPr="00567508">
        <w:rPr>
          <w:sz w:val="22"/>
          <w:szCs w:val="22"/>
          <w:lang w:eastAsia="zh-CN"/>
        </w:rPr>
        <w:t xml:space="preserve"> </w:t>
      </w:r>
      <w:r w:rsidR="00B670F1">
        <w:rPr>
          <w:sz w:val="22"/>
          <w:lang w:val="pl-PL" w:eastAsia="zh-CN"/>
        </w:rPr>
        <w:t xml:space="preserve">the </w:t>
      </w:r>
      <w:r w:rsidR="00C55899">
        <w:rPr>
          <w:sz w:val="22"/>
          <w:lang w:val="pl-PL" w:eastAsia="zh-CN"/>
        </w:rPr>
        <w:t>overall</w:t>
      </w:r>
      <w:r w:rsidR="001A4E14">
        <w:rPr>
          <w:sz w:val="22"/>
          <w:lang w:val="pl-PL" w:eastAsia="zh-CN"/>
        </w:rPr>
        <w:t xml:space="preserve"> and details </w:t>
      </w:r>
      <w:r w:rsidR="00C55899">
        <w:rPr>
          <w:sz w:val="22"/>
          <w:lang w:val="pl-PL" w:eastAsia="zh-CN"/>
        </w:rPr>
        <w:t>of SDT</w:t>
      </w:r>
      <w:r w:rsidR="001A4E14">
        <w:rPr>
          <w:sz w:val="22"/>
          <w:lang w:val="pl-PL" w:eastAsia="zh-CN"/>
        </w:rPr>
        <w:t xml:space="preserve"> procedure</w:t>
      </w:r>
      <w:r w:rsidRPr="00567508">
        <w:rPr>
          <w:sz w:val="22"/>
          <w:szCs w:val="22"/>
          <w:lang w:eastAsia="zh-CN"/>
        </w:rPr>
        <w:t xml:space="preserve">, and </w:t>
      </w:r>
      <w:r w:rsidR="006338A9">
        <w:rPr>
          <w:sz w:val="22"/>
          <w:szCs w:val="22"/>
          <w:lang w:eastAsia="zh-CN"/>
        </w:rPr>
        <w:t>puts forward the following</w:t>
      </w:r>
      <w:r w:rsidRPr="00567508">
        <w:rPr>
          <w:sz w:val="22"/>
          <w:szCs w:val="22"/>
          <w:lang w:eastAsia="zh-CN"/>
        </w:rPr>
        <w:t xml:space="preserve"> </w:t>
      </w:r>
      <w:r w:rsidR="006338A9">
        <w:rPr>
          <w:sz w:val="22"/>
          <w:szCs w:val="22"/>
          <w:lang w:eastAsia="zh-CN"/>
        </w:rPr>
        <w:t xml:space="preserve">observation and </w:t>
      </w:r>
      <w:r w:rsidRPr="00567508">
        <w:rPr>
          <w:sz w:val="22"/>
          <w:szCs w:val="22"/>
          <w:lang w:eastAsia="zh-CN"/>
        </w:rPr>
        <w:t>proposal</w:t>
      </w:r>
      <w:r w:rsidR="00890B96">
        <w:rPr>
          <w:sz w:val="22"/>
          <w:szCs w:val="22"/>
          <w:lang w:eastAsia="zh-CN"/>
        </w:rPr>
        <w:t>s</w:t>
      </w:r>
      <w:r w:rsidR="00071700">
        <w:rPr>
          <w:sz w:val="22"/>
          <w:szCs w:val="22"/>
          <w:lang w:eastAsia="zh-CN"/>
        </w:rPr>
        <w:t>:</w:t>
      </w:r>
    </w:p>
    <w:p w:rsidR="005A46A9" w:rsidRPr="005A46A9" w:rsidRDefault="005A46A9" w:rsidP="00690876">
      <w:pPr>
        <w:jc w:val="both"/>
        <w:rPr>
          <w:b/>
          <w:sz w:val="22"/>
          <w:lang w:val="pl-PL" w:eastAsia="zh-CN"/>
        </w:rPr>
      </w:pPr>
      <w:r w:rsidRPr="009C199B">
        <w:rPr>
          <w:b/>
          <w:sz w:val="22"/>
          <w:lang w:val="pl-PL" w:eastAsia="zh-CN"/>
        </w:rPr>
        <w:t xml:space="preserve">Observation 1: UE prioritizes CG-SDT over RA-SDT when initiating the SDT procedure. </w:t>
      </w:r>
    </w:p>
    <w:p w:rsidR="00690876" w:rsidRPr="00690876" w:rsidRDefault="00690876" w:rsidP="00690876">
      <w:pPr>
        <w:jc w:val="both"/>
        <w:rPr>
          <w:b/>
          <w:sz w:val="22"/>
          <w:lang w:val="pl-PL" w:eastAsia="zh-CN"/>
        </w:rPr>
      </w:pPr>
      <w:r w:rsidRPr="00690876">
        <w:rPr>
          <w:rFonts w:hint="eastAsia"/>
          <w:b/>
          <w:sz w:val="22"/>
          <w:lang w:val="pl-PL" w:eastAsia="zh-CN"/>
        </w:rPr>
        <w:lastRenderedPageBreak/>
        <w:t>P</w:t>
      </w:r>
      <w:r w:rsidRPr="00690876">
        <w:rPr>
          <w:b/>
          <w:sz w:val="22"/>
          <w:lang w:val="pl-PL" w:eastAsia="zh-CN"/>
        </w:rPr>
        <w:t>roposal 1: Carrier selection should be performed before other procedures to ensure the service performance.</w:t>
      </w:r>
    </w:p>
    <w:p w:rsidR="00690876" w:rsidRPr="009C199B" w:rsidRDefault="00690876" w:rsidP="009C199B">
      <w:pPr>
        <w:jc w:val="both"/>
        <w:rPr>
          <w:b/>
          <w:sz w:val="22"/>
          <w:lang w:val="pl-PL" w:eastAsia="zh-CN"/>
        </w:rPr>
      </w:pPr>
      <w:r w:rsidRPr="009C199B">
        <w:rPr>
          <w:rFonts w:hint="eastAsia"/>
          <w:b/>
          <w:sz w:val="22"/>
          <w:lang w:val="pl-PL" w:eastAsia="zh-CN"/>
        </w:rPr>
        <w:t>P</w:t>
      </w:r>
      <w:r w:rsidRPr="009C199B">
        <w:rPr>
          <w:b/>
          <w:sz w:val="22"/>
          <w:lang w:val="pl-PL" w:eastAsia="zh-CN"/>
        </w:rPr>
        <w:t xml:space="preserve">roposal 2: After the carrier selection, the UE should determine whether to use SDT or non-SDT procedure based on the RSRP threshold. </w:t>
      </w:r>
    </w:p>
    <w:p w:rsidR="00690876" w:rsidRPr="009C199B" w:rsidRDefault="00690876" w:rsidP="009C199B">
      <w:pPr>
        <w:jc w:val="both"/>
        <w:rPr>
          <w:b/>
          <w:sz w:val="22"/>
          <w:lang w:val="pl-PL" w:eastAsia="zh-CN"/>
        </w:rPr>
      </w:pPr>
      <w:r w:rsidRPr="009C199B">
        <w:rPr>
          <w:rFonts w:hint="eastAsia"/>
          <w:b/>
          <w:sz w:val="22"/>
          <w:lang w:val="pl-PL" w:eastAsia="zh-CN"/>
        </w:rPr>
        <w:t>P</w:t>
      </w:r>
      <w:r w:rsidRPr="009C199B">
        <w:rPr>
          <w:b/>
          <w:sz w:val="22"/>
          <w:lang w:val="pl-PL" w:eastAsia="zh-CN"/>
        </w:rPr>
        <w:t xml:space="preserve">roposal 3: The data volume threshold of CG-SDT and SA-SDT may be configured separately. </w:t>
      </w:r>
    </w:p>
    <w:p w:rsidR="00690876" w:rsidRPr="009C199B" w:rsidRDefault="00690876" w:rsidP="009C199B">
      <w:pPr>
        <w:jc w:val="both"/>
        <w:rPr>
          <w:b/>
          <w:sz w:val="22"/>
          <w:lang w:val="pl-PL" w:eastAsia="zh-CN"/>
        </w:rPr>
      </w:pPr>
      <w:r w:rsidRPr="009C199B">
        <w:rPr>
          <w:rFonts w:hint="eastAsia"/>
          <w:b/>
          <w:sz w:val="22"/>
          <w:lang w:val="pl-PL" w:eastAsia="zh-CN"/>
        </w:rPr>
        <w:t>P</w:t>
      </w:r>
      <w:r w:rsidRPr="009C199B">
        <w:rPr>
          <w:b/>
          <w:sz w:val="22"/>
          <w:lang w:val="pl-PL" w:eastAsia="zh-CN"/>
        </w:rPr>
        <w:t>roposal 4: The RSRP threshold for RA type selection should be specific for SDT.</w:t>
      </w:r>
    </w:p>
    <w:p w:rsidR="00690876" w:rsidRPr="009C199B" w:rsidRDefault="00690876" w:rsidP="009C199B">
      <w:pPr>
        <w:jc w:val="both"/>
        <w:rPr>
          <w:b/>
          <w:sz w:val="22"/>
          <w:lang w:val="pl-PL" w:eastAsia="zh-CN"/>
        </w:rPr>
      </w:pPr>
      <w:r w:rsidRPr="009C199B">
        <w:rPr>
          <w:rFonts w:hint="eastAsia"/>
          <w:b/>
          <w:sz w:val="22"/>
          <w:lang w:val="pl-PL" w:eastAsia="zh-CN"/>
        </w:rPr>
        <w:t>P</w:t>
      </w:r>
      <w:r w:rsidRPr="009C199B">
        <w:rPr>
          <w:b/>
          <w:sz w:val="22"/>
          <w:lang w:val="pl-PL" w:eastAsia="zh-CN"/>
        </w:rPr>
        <w:t>roposal 5: The is no need to support switching between CG-SDT and RA-SDT.</w:t>
      </w:r>
    </w:p>
    <w:p w:rsidR="00690876" w:rsidRPr="009C199B" w:rsidRDefault="00690876" w:rsidP="009C199B">
      <w:pPr>
        <w:jc w:val="both"/>
        <w:rPr>
          <w:b/>
          <w:sz w:val="22"/>
          <w:lang w:val="pl-PL" w:eastAsia="zh-CN"/>
        </w:rPr>
      </w:pPr>
      <w:r w:rsidRPr="009C199B">
        <w:rPr>
          <w:rFonts w:hint="eastAsia"/>
          <w:b/>
          <w:sz w:val="22"/>
          <w:lang w:val="pl-PL" w:eastAsia="zh-CN"/>
        </w:rPr>
        <w:t>P</w:t>
      </w:r>
      <w:r w:rsidRPr="009C199B">
        <w:rPr>
          <w:b/>
          <w:sz w:val="22"/>
          <w:lang w:val="pl-PL" w:eastAsia="zh-CN"/>
        </w:rPr>
        <w:t>roposal 6: Both the NW and UE can trigger the switch between SDT and non-SDT procedure.</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References</w:t>
      </w:r>
    </w:p>
    <w:p w:rsidR="00256319" w:rsidRDefault="00256319" w:rsidP="00256319">
      <w:pPr>
        <w:numPr>
          <w:ilvl w:val="0"/>
          <w:numId w:val="48"/>
        </w:numPr>
        <w:overflowPunct w:val="0"/>
        <w:autoSpaceDE w:val="0"/>
        <w:autoSpaceDN w:val="0"/>
        <w:adjustRightInd w:val="0"/>
        <w:spacing w:line="240" w:lineRule="auto"/>
        <w:textAlignment w:val="baseline"/>
        <w:rPr>
          <w:sz w:val="22"/>
          <w:szCs w:val="22"/>
          <w:lang w:eastAsia="zh-CN"/>
        </w:rPr>
      </w:pPr>
      <w:r w:rsidRPr="009F0687">
        <w:rPr>
          <w:sz w:val="22"/>
          <w:szCs w:val="22"/>
          <w:lang w:eastAsia="zh-CN"/>
        </w:rPr>
        <w:t>RAN2#11</w:t>
      </w:r>
      <w:r>
        <w:rPr>
          <w:sz w:val="22"/>
          <w:szCs w:val="22"/>
          <w:lang w:eastAsia="zh-CN"/>
        </w:rPr>
        <w:t>3</w:t>
      </w:r>
      <w:r w:rsidRPr="009F0687">
        <w:rPr>
          <w:sz w:val="22"/>
          <w:szCs w:val="22"/>
          <w:lang w:eastAsia="zh-CN"/>
        </w:rPr>
        <w:t>-e</w:t>
      </w:r>
      <w:r>
        <w:rPr>
          <w:sz w:val="22"/>
          <w:szCs w:val="22"/>
          <w:lang w:eastAsia="zh-CN"/>
        </w:rPr>
        <w:t xml:space="preserve"> </w:t>
      </w:r>
      <w:r w:rsidRPr="009F0687">
        <w:rPr>
          <w:sz w:val="22"/>
          <w:szCs w:val="22"/>
          <w:lang w:eastAsia="zh-CN"/>
        </w:rPr>
        <w:t>meeting report</w:t>
      </w:r>
    </w:p>
    <w:p w:rsidR="00256319" w:rsidRDefault="00256319" w:rsidP="00256319">
      <w:pPr>
        <w:numPr>
          <w:ilvl w:val="0"/>
          <w:numId w:val="48"/>
        </w:numPr>
        <w:overflowPunct w:val="0"/>
        <w:autoSpaceDE w:val="0"/>
        <w:autoSpaceDN w:val="0"/>
        <w:adjustRightInd w:val="0"/>
        <w:spacing w:line="240" w:lineRule="auto"/>
        <w:textAlignment w:val="baseline"/>
        <w:rPr>
          <w:sz w:val="22"/>
          <w:szCs w:val="22"/>
          <w:lang w:eastAsia="zh-CN"/>
        </w:rPr>
      </w:pPr>
      <w:r w:rsidRPr="00552870">
        <w:rPr>
          <w:sz w:val="22"/>
          <w:szCs w:val="22"/>
          <w:lang w:eastAsia="zh-CN"/>
        </w:rPr>
        <w:t>Report from email discussion [POST113-e]</w:t>
      </w:r>
      <w:r w:rsidR="00E66677">
        <w:rPr>
          <w:sz w:val="22"/>
          <w:szCs w:val="22"/>
          <w:lang w:eastAsia="zh-CN"/>
        </w:rPr>
        <w:t xml:space="preserve"> </w:t>
      </w:r>
      <w:r w:rsidRPr="00552870">
        <w:rPr>
          <w:sz w:val="22"/>
          <w:szCs w:val="22"/>
          <w:lang w:eastAsia="zh-CN"/>
        </w:rPr>
        <w:t>[501]</w:t>
      </w:r>
      <w:r w:rsidR="00875E01">
        <w:rPr>
          <w:sz w:val="22"/>
          <w:szCs w:val="22"/>
          <w:lang w:eastAsia="zh-CN"/>
        </w:rPr>
        <w:t xml:space="preserve"> </w:t>
      </w:r>
      <w:r w:rsidRPr="00552870">
        <w:rPr>
          <w:sz w:val="22"/>
          <w:szCs w:val="22"/>
          <w:lang w:eastAsia="zh-CN"/>
        </w:rPr>
        <w:t>[SDT] Selection criteria and overall Procedure</w:t>
      </w:r>
    </w:p>
    <w:p w:rsidR="00256319" w:rsidRPr="00AA3467" w:rsidRDefault="00256319" w:rsidP="00256319">
      <w:pPr>
        <w:overflowPunct w:val="0"/>
        <w:autoSpaceDE w:val="0"/>
        <w:autoSpaceDN w:val="0"/>
        <w:adjustRightInd w:val="0"/>
        <w:spacing w:line="240" w:lineRule="auto"/>
        <w:ind w:left="357"/>
        <w:textAlignment w:val="baseline"/>
        <w:rPr>
          <w:sz w:val="22"/>
          <w:szCs w:val="22"/>
          <w:lang w:eastAsia="zh-CN"/>
        </w:rPr>
      </w:pPr>
    </w:p>
    <w:p w:rsidR="00217BBD" w:rsidRPr="00FF010F" w:rsidRDefault="00217BBD" w:rsidP="00567508">
      <w:pPr>
        <w:tabs>
          <w:tab w:val="num" w:pos="360"/>
        </w:tabs>
        <w:overflowPunct w:val="0"/>
        <w:autoSpaceDE w:val="0"/>
        <w:autoSpaceDN w:val="0"/>
        <w:adjustRightInd w:val="0"/>
        <w:spacing w:line="240" w:lineRule="auto"/>
        <w:ind w:left="357" w:hanging="357"/>
        <w:textAlignment w:val="baseline"/>
        <w:rPr>
          <w:sz w:val="22"/>
          <w:szCs w:val="22"/>
        </w:rPr>
      </w:pPr>
    </w:p>
    <w:sectPr w:rsidR="00217BBD" w:rsidRPr="00FF010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8FA" w:rsidRDefault="003438FA" w:rsidP="00912621">
      <w:pPr>
        <w:spacing w:after="0" w:line="240" w:lineRule="auto"/>
      </w:pPr>
      <w:r>
        <w:separator/>
      </w:r>
    </w:p>
  </w:endnote>
  <w:endnote w:type="continuationSeparator" w:id="0">
    <w:p w:rsidR="003438FA" w:rsidRDefault="003438FA"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8FA" w:rsidRDefault="003438FA" w:rsidP="00912621">
      <w:pPr>
        <w:spacing w:after="0" w:line="240" w:lineRule="auto"/>
      </w:pPr>
      <w:r>
        <w:separator/>
      </w:r>
    </w:p>
  </w:footnote>
  <w:footnote w:type="continuationSeparator" w:id="0">
    <w:p w:rsidR="003438FA" w:rsidRDefault="003438FA"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FFC29F"/>
    <w:multiLevelType w:val="singleLevel"/>
    <w:tmpl w:val="BEFFC29F"/>
    <w:lvl w:ilvl="0">
      <w:start w:val="1"/>
      <w:numFmt w:val="bullet"/>
      <w:lvlText w:val=""/>
      <w:lvlJc w:val="left"/>
      <w:pPr>
        <w:ind w:left="420" w:hanging="420"/>
      </w:pPr>
      <w:rPr>
        <w:rFonts w:ascii="Wingdings" w:hAnsi="Wingdings" w:hint="default"/>
      </w:rPr>
    </w:lvl>
  </w:abstractNum>
  <w:abstractNum w:abstractNumId="1"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6" w15:restartNumberingAfterBreak="0">
    <w:nsid w:val="0DC03201"/>
    <w:multiLevelType w:val="hybridMultilevel"/>
    <w:tmpl w:val="35C4298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0F7811B1"/>
    <w:multiLevelType w:val="hybridMultilevel"/>
    <w:tmpl w:val="0EF05B58"/>
    <w:lvl w:ilvl="0" w:tplc="32D6B2B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AC5A5D"/>
    <w:multiLevelType w:val="hybridMultilevel"/>
    <w:tmpl w:val="39EA3CCC"/>
    <w:lvl w:ilvl="0" w:tplc="A1720A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9"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76BAA"/>
    <w:multiLevelType w:val="hybridMultilevel"/>
    <w:tmpl w:val="8FA8A2B4"/>
    <w:lvl w:ilvl="0" w:tplc="84948BE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8E3603E"/>
    <w:multiLevelType w:val="hybridMultilevel"/>
    <w:tmpl w:val="EF66A7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FE5357"/>
    <w:multiLevelType w:val="multilevel"/>
    <w:tmpl w:val="E1B686AC"/>
    <w:lvl w:ilvl="0">
      <w:start w:val="1"/>
      <w:numFmt w:val="decimal"/>
      <w:lvlText w:val="%1"/>
      <w:lvlJc w:val="left"/>
      <w:pPr>
        <w:ind w:left="1128" w:hanging="1128"/>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1E443F71"/>
    <w:multiLevelType w:val="hybridMultilevel"/>
    <w:tmpl w:val="49BC2FA2"/>
    <w:lvl w:ilvl="0" w:tplc="4E2EBC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396D13"/>
    <w:multiLevelType w:val="hybridMultilevel"/>
    <w:tmpl w:val="A49E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9"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0" w15:restartNumberingAfterBreak="0">
    <w:nsid w:val="2D7F1820"/>
    <w:multiLevelType w:val="hybridMultilevel"/>
    <w:tmpl w:val="A0A8E8F0"/>
    <w:lvl w:ilvl="0" w:tplc="1820DB5E">
      <w:start w:val="4"/>
      <w:numFmt w:val="decimal"/>
      <w:lvlText w:val="%1."/>
      <w:lvlJc w:val="left"/>
      <w:pPr>
        <w:ind w:left="720" w:hanging="360"/>
      </w:pPr>
      <w:rPr>
        <w:rFonts w:hint="default"/>
      </w:rPr>
    </w:lvl>
    <w:lvl w:ilvl="1" w:tplc="DE9ED056">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603885"/>
    <w:multiLevelType w:val="hybridMultilevel"/>
    <w:tmpl w:val="C0CA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80710EB"/>
    <w:multiLevelType w:val="hybridMultilevel"/>
    <w:tmpl w:val="B3DA5F26"/>
    <w:lvl w:ilvl="0" w:tplc="1E04DDF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AA7EF2"/>
    <w:multiLevelType w:val="hybridMultilevel"/>
    <w:tmpl w:val="B00AF3F2"/>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3A5D4CA1"/>
    <w:multiLevelType w:val="hybridMultilevel"/>
    <w:tmpl w:val="FD3461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EE5B58"/>
    <w:multiLevelType w:val="hybridMultilevel"/>
    <w:tmpl w:val="031E0C6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70236F"/>
    <w:multiLevelType w:val="hybridMultilevel"/>
    <w:tmpl w:val="419C7354"/>
    <w:lvl w:ilvl="0" w:tplc="6882B5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9A1DAF"/>
    <w:multiLevelType w:val="hybridMultilevel"/>
    <w:tmpl w:val="0C28A8B6"/>
    <w:lvl w:ilvl="0" w:tplc="EFA42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F60364"/>
    <w:multiLevelType w:val="hybridMultilevel"/>
    <w:tmpl w:val="FAE85A2E"/>
    <w:lvl w:ilvl="0" w:tplc="6444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D3317B"/>
    <w:multiLevelType w:val="hybridMultilevel"/>
    <w:tmpl w:val="DC9CD0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FA12B1"/>
    <w:multiLevelType w:val="hybridMultilevel"/>
    <w:tmpl w:val="A926AF7C"/>
    <w:lvl w:ilvl="0" w:tplc="3670B13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03C376D"/>
    <w:multiLevelType w:val="hybridMultilevel"/>
    <w:tmpl w:val="F8B4BDBC"/>
    <w:lvl w:ilvl="0" w:tplc="5EBCB3D4">
      <w:start w:val="2"/>
      <w:numFmt w:val="bullet"/>
      <w:lvlText w:val=""/>
      <w:lvlJc w:val="left"/>
      <w:pPr>
        <w:ind w:left="420" w:hanging="420"/>
      </w:pPr>
      <w:rPr>
        <w:rFonts w:ascii="Symbol" w:eastAsiaTheme="minorHAnsi"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4A2CAF"/>
    <w:multiLevelType w:val="hybridMultilevel"/>
    <w:tmpl w:val="E29C24B8"/>
    <w:lvl w:ilvl="0" w:tplc="8F10BA4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0458D6"/>
    <w:multiLevelType w:val="hybridMultilevel"/>
    <w:tmpl w:val="A8BCA9A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F3370B"/>
    <w:multiLevelType w:val="hybridMultilevel"/>
    <w:tmpl w:val="64C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6DBC2402"/>
    <w:multiLevelType w:val="hybridMultilevel"/>
    <w:tmpl w:val="46CC955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15:restartNumberingAfterBreak="0">
    <w:nsid w:val="6F711CED"/>
    <w:multiLevelType w:val="hybridMultilevel"/>
    <w:tmpl w:val="DC1E1474"/>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44415F6"/>
    <w:multiLevelType w:val="hybridMultilevel"/>
    <w:tmpl w:val="61881F7A"/>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5" w15:restartNumberingAfterBreak="0">
    <w:nsid w:val="7D190252"/>
    <w:multiLevelType w:val="hybridMultilevel"/>
    <w:tmpl w:val="59D82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54"/>
  </w:num>
  <w:num w:numId="3">
    <w:abstractNumId w:val="50"/>
  </w:num>
  <w:num w:numId="4">
    <w:abstractNumId w:val="32"/>
  </w:num>
  <w:num w:numId="5">
    <w:abstractNumId w:val="28"/>
  </w:num>
  <w:num w:numId="6">
    <w:abstractNumId w:val="14"/>
  </w:num>
  <w:num w:numId="7">
    <w:abstractNumId w:val="30"/>
  </w:num>
  <w:num w:numId="8">
    <w:abstractNumId w:val="20"/>
  </w:num>
  <w:num w:numId="9">
    <w:abstractNumId w:val="25"/>
  </w:num>
  <w:num w:numId="10">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1"/>
  </w:num>
  <w:num w:numId="13">
    <w:abstractNumId w:val="4"/>
  </w:num>
  <w:num w:numId="14">
    <w:abstractNumId w:val="48"/>
  </w:num>
  <w:num w:numId="15">
    <w:abstractNumId w:val="12"/>
  </w:num>
  <w:num w:numId="16">
    <w:abstractNumId w:val="46"/>
  </w:num>
  <w:num w:numId="17">
    <w:abstractNumId w:val="29"/>
  </w:num>
  <w:num w:numId="18">
    <w:abstractNumId w:val="49"/>
  </w:num>
  <w:num w:numId="19">
    <w:abstractNumId w:val="42"/>
  </w:num>
  <w:num w:numId="20">
    <w:abstractNumId w:val="35"/>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0"/>
  </w:num>
  <w:num w:numId="24">
    <w:abstractNumId w:val="5"/>
  </w:num>
  <w:num w:numId="25">
    <w:abstractNumId w:val="8"/>
  </w:num>
  <w:num w:numId="26">
    <w:abstractNumId w:val="11"/>
  </w:num>
  <w:num w:numId="27">
    <w:abstractNumId w:val="15"/>
  </w:num>
  <w:num w:numId="28">
    <w:abstractNumId w:val="53"/>
  </w:num>
  <w:num w:numId="29">
    <w:abstractNumId w:val="51"/>
  </w:num>
  <w:num w:numId="30">
    <w:abstractNumId w:val="33"/>
  </w:num>
  <w:num w:numId="31">
    <w:abstractNumId w:val="37"/>
  </w:num>
  <w:num w:numId="32">
    <w:abstractNumId w:val="26"/>
  </w:num>
  <w:num w:numId="33">
    <w:abstractNumId w:val="23"/>
  </w:num>
  <w:num w:numId="34">
    <w:abstractNumId w:val="16"/>
  </w:num>
  <w:num w:numId="35">
    <w:abstractNumId w:val="18"/>
  </w:num>
  <w:num w:numId="36">
    <w:abstractNumId w:val="40"/>
  </w:num>
  <w:num w:numId="37">
    <w:abstractNumId w:val="17"/>
  </w:num>
  <w:num w:numId="38">
    <w:abstractNumId w:val="55"/>
  </w:num>
  <w:num w:numId="39">
    <w:abstractNumId w:val="6"/>
  </w:num>
  <w:num w:numId="40">
    <w:abstractNumId w:val="13"/>
  </w:num>
  <w:num w:numId="41">
    <w:abstractNumId w:val="44"/>
  </w:num>
  <w:num w:numId="42">
    <w:abstractNumId w:val="9"/>
  </w:num>
  <w:num w:numId="43">
    <w:abstractNumId w:val="51"/>
  </w:num>
  <w:num w:numId="44">
    <w:abstractNumId w:val="36"/>
  </w:num>
  <w:num w:numId="45">
    <w:abstractNumId w:val="3"/>
  </w:num>
  <w:num w:numId="46">
    <w:abstractNumId w:val="7"/>
  </w:num>
  <w:num w:numId="47">
    <w:abstractNumId w:val="51"/>
  </w:num>
  <w:num w:numId="48">
    <w:abstractNumId w:val="22"/>
  </w:num>
  <w:num w:numId="49">
    <w:abstractNumId w:val="2"/>
  </w:num>
  <w:num w:numId="50">
    <w:abstractNumId w:val="38"/>
  </w:num>
  <w:num w:numId="51">
    <w:abstractNumId w:val="27"/>
  </w:num>
  <w:num w:numId="52">
    <w:abstractNumId w:val="39"/>
  </w:num>
  <w:num w:numId="53">
    <w:abstractNumId w:val="52"/>
  </w:num>
  <w:num w:numId="54">
    <w:abstractNumId w:val="19"/>
  </w:num>
  <w:num w:numId="55">
    <w:abstractNumId w:val="43"/>
  </w:num>
  <w:num w:numId="56">
    <w:abstractNumId w:val="34"/>
  </w:num>
  <w:num w:numId="57">
    <w:abstractNumId w:val="1"/>
  </w:num>
  <w:num w:numId="58">
    <w:abstractNumId w:val="41"/>
  </w:num>
  <w:num w:numId="59">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5498"/>
    <w:rsid w:val="00005902"/>
    <w:rsid w:val="0000612D"/>
    <w:rsid w:val="000066A8"/>
    <w:rsid w:val="00011147"/>
    <w:rsid w:val="00017BB3"/>
    <w:rsid w:val="0002254B"/>
    <w:rsid w:val="00025FCB"/>
    <w:rsid w:val="00027C89"/>
    <w:rsid w:val="00030364"/>
    <w:rsid w:val="0003047D"/>
    <w:rsid w:val="00032963"/>
    <w:rsid w:val="00036389"/>
    <w:rsid w:val="000369EB"/>
    <w:rsid w:val="000400C4"/>
    <w:rsid w:val="0004190C"/>
    <w:rsid w:val="00042F9E"/>
    <w:rsid w:val="000451B8"/>
    <w:rsid w:val="00050CE1"/>
    <w:rsid w:val="0005124C"/>
    <w:rsid w:val="0005209D"/>
    <w:rsid w:val="000555C3"/>
    <w:rsid w:val="000604F0"/>
    <w:rsid w:val="000646DB"/>
    <w:rsid w:val="00066942"/>
    <w:rsid w:val="00071700"/>
    <w:rsid w:val="00073E84"/>
    <w:rsid w:val="000767B8"/>
    <w:rsid w:val="00077AD7"/>
    <w:rsid w:val="0009037E"/>
    <w:rsid w:val="00090FBE"/>
    <w:rsid w:val="00091A59"/>
    <w:rsid w:val="000965F2"/>
    <w:rsid w:val="00096841"/>
    <w:rsid w:val="000A6F9E"/>
    <w:rsid w:val="000B0BE2"/>
    <w:rsid w:val="000B0C5A"/>
    <w:rsid w:val="000B1609"/>
    <w:rsid w:val="000B4E76"/>
    <w:rsid w:val="000C44C8"/>
    <w:rsid w:val="000C511B"/>
    <w:rsid w:val="000C5793"/>
    <w:rsid w:val="000C5937"/>
    <w:rsid w:val="000D106F"/>
    <w:rsid w:val="000D404A"/>
    <w:rsid w:val="000D5A80"/>
    <w:rsid w:val="000D741E"/>
    <w:rsid w:val="000D7737"/>
    <w:rsid w:val="000E10EC"/>
    <w:rsid w:val="000E11E4"/>
    <w:rsid w:val="000E1B91"/>
    <w:rsid w:val="000E281B"/>
    <w:rsid w:val="000E2934"/>
    <w:rsid w:val="000E36E2"/>
    <w:rsid w:val="000E4C6D"/>
    <w:rsid w:val="000E6A20"/>
    <w:rsid w:val="000F15DE"/>
    <w:rsid w:val="000F295F"/>
    <w:rsid w:val="000F32F0"/>
    <w:rsid w:val="000F472C"/>
    <w:rsid w:val="00105FBA"/>
    <w:rsid w:val="00111B68"/>
    <w:rsid w:val="001130EF"/>
    <w:rsid w:val="001142CC"/>
    <w:rsid w:val="00115999"/>
    <w:rsid w:val="001170A3"/>
    <w:rsid w:val="00117D6E"/>
    <w:rsid w:val="00120021"/>
    <w:rsid w:val="00121855"/>
    <w:rsid w:val="00122602"/>
    <w:rsid w:val="001230E4"/>
    <w:rsid w:val="001259DC"/>
    <w:rsid w:val="00126AFB"/>
    <w:rsid w:val="00131D97"/>
    <w:rsid w:val="00132D82"/>
    <w:rsid w:val="001401C9"/>
    <w:rsid w:val="001403B3"/>
    <w:rsid w:val="00141B0B"/>
    <w:rsid w:val="0014357F"/>
    <w:rsid w:val="001479BA"/>
    <w:rsid w:val="00151F18"/>
    <w:rsid w:val="00154F84"/>
    <w:rsid w:val="001600AA"/>
    <w:rsid w:val="00162E5D"/>
    <w:rsid w:val="00164047"/>
    <w:rsid w:val="00164861"/>
    <w:rsid w:val="00166963"/>
    <w:rsid w:val="00166D8A"/>
    <w:rsid w:val="00180F8A"/>
    <w:rsid w:val="001810B8"/>
    <w:rsid w:val="001843F4"/>
    <w:rsid w:val="001860BF"/>
    <w:rsid w:val="001868B7"/>
    <w:rsid w:val="00191FD3"/>
    <w:rsid w:val="00193698"/>
    <w:rsid w:val="0019507E"/>
    <w:rsid w:val="00196420"/>
    <w:rsid w:val="00196AA8"/>
    <w:rsid w:val="001A13C2"/>
    <w:rsid w:val="001A3453"/>
    <w:rsid w:val="001A3791"/>
    <w:rsid w:val="001A4E14"/>
    <w:rsid w:val="001B1C20"/>
    <w:rsid w:val="001B2B14"/>
    <w:rsid w:val="001B2FF4"/>
    <w:rsid w:val="001B3AF9"/>
    <w:rsid w:val="001B3EE6"/>
    <w:rsid w:val="001B54EF"/>
    <w:rsid w:val="001B5AB4"/>
    <w:rsid w:val="001B65EE"/>
    <w:rsid w:val="001C2BF7"/>
    <w:rsid w:val="001C309B"/>
    <w:rsid w:val="001C5557"/>
    <w:rsid w:val="001D0B68"/>
    <w:rsid w:val="001D2777"/>
    <w:rsid w:val="001D3342"/>
    <w:rsid w:val="001D3888"/>
    <w:rsid w:val="001D5388"/>
    <w:rsid w:val="001D6271"/>
    <w:rsid w:val="001E0405"/>
    <w:rsid w:val="001E301C"/>
    <w:rsid w:val="001E7D73"/>
    <w:rsid w:val="001F3D1B"/>
    <w:rsid w:val="002004D0"/>
    <w:rsid w:val="00202DA2"/>
    <w:rsid w:val="00205816"/>
    <w:rsid w:val="00214860"/>
    <w:rsid w:val="002165C4"/>
    <w:rsid w:val="00217BBD"/>
    <w:rsid w:val="00217D3F"/>
    <w:rsid w:val="002230FE"/>
    <w:rsid w:val="00224209"/>
    <w:rsid w:val="002277BF"/>
    <w:rsid w:val="00230F8B"/>
    <w:rsid w:val="0023110F"/>
    <w:rsid w:val="00235189"/>
    <w:rsid w:val="00235E70"/>
    <w:rsid w:val="00242912"/>
    <w:rsid w:val="00242CA8"/>
    <w:rsid w:val="00243236"/>
    <w:rsid w:val="00243571"/>
    <w:rsid w:val="00244BEF"/>
    <w:rsid w:val="00245CDE"/>
    <w:rsid w:val="002470AE"/>
    <w:rsid w:val="00250645"/>
    <w:rsid w:val="00251F5A"/>
    <w:rsid w:val="00254C82"/>
    <w:rsid w:val="00256319"/>
    <w:rsid w:val="00262E88"/>
    <w:rsid w:val="00267432"/>
    <w:rsid w:val="00271723"/>
    <w:rsid w:val="00271FE1"/>
    <w:rsid w:val="00272663"/>
    <w:rsid w:val="00272B2D"/>
    <w:rsid w:val="0027305F"/>
    <w:rsid w:val="00274D41"/>
    <w:rsid w:val="002759CB"/>
    <w:rsid w:val="00276DBE"/>
    <w:rsid w:val="00287C99"/>
    <w:rsid w:val="002904C4"/>
    <w:rsid w:val="002920E0"/>
    <w:rsid w:val="002952AA"/>
    <w:rsid w:val="00295EBD"/>
    <w:rsid w:val="002A1270"/>
    <w:rsid w:val="002A12AB"/>
    <w:rsid w:val="002A29B1"/>
    <w:rsid w:val="002A3349"/>
    <w:rsid w:val="002A402B"/>
    <w:rsid w:val="002A4A70"/>
    <w:rsid w:val="002A5957"/>
    <w:rsid w:val="002A7436"/>
    <w:rsid w:val="002B1588"/>
    <w:rsid w:val="002B185F"/>
    <w:rsid w:val="002B1D95"/>
    <w:rsid w:val="002C2070"/>
    <w:rsid w:val="002C2844"/>
    <w:rsid w:val="002C5B9C"/>
    <w:rsid w:val="002C5FB0"/>
    <w:rsid w:val="002C6CFB"/>
    <w:rsid w:val="002C7241"/>
    <w:rsid w:val="002C7F40"/>
    <w:rsid w:val="002D11F2"/>
    <w:rsid w:val="002D5D6A"/>
    <w:rsid w:val="002D7ACB"/>
    <w:rsid w:val="002E227E"/>
    <w:rsid w:val="002E3F17"/>
    <w:rsid w:val="002E6BD9"/>
    <w:rsid w:val="002E7753"/>
    <w:rsid w:val="002F0AE5"/>
    <w:rsid w:val="00301489"/>
    <w:rsid w:val="003022E6"/>
    <w:rsid w:val="003048C4"/>
    <w:rsid w:val="003069EF"/>
    <w:rsid w:val="00307415"/>
    <w:rsid w:val="00307C3C"/>
    <w:rsid w:val="00310D26"/>
    <w:rsid w:val="00315302"/>
    <w:rsid w:val="00315519"/>
    <w:rsid w:val="00315721"/>
    <w:rsid w:val="00320BE3"/>
    <w:rsid w:val="003230A1"/>
    <w:rsid w:val="00324061"/>
    <w:rsid w:val="003252E5"/>
    <w:rsid w:val="00325F84"/>
    <w:rsid w:val="00327BE8"/>
    <w:rsid w:val="00342D80"/>
    <w:rsid w:val="003438FA"/>
    <w:rsid w:val="003507E6"/>
    <w:rsid w:val="0035134B"/>
    <w:rsid w:val="00353BD1"/>
    <w:rsid w:val="003554C1"/>
    <w:rsid w:val="0035607B"/>
    <w:rsid w:val="00356996"/>
    <w:rsid w:val="003601F2"/>
    <w:rsid w:val="00361AB5"/>
    <w:rsid w:val="003627A7"/>
    <w:rsid w:val="00363319"/>
    <w:rsid w:val="003641A7"/>
    <w:rsid w:val="00364532"/>
    <w:rsid w:val="00366103"/>
    <w:rsid w:val="0036762D"/>
    <w:rsid w:val="003677A2"/>
    <w:rsid w:val="00367C84"/>
    <w:rsid w:val="00370AD1"/>
    <w:rsid w:val="0037274D"/>
    <w:rsid w:val="00373151"/>
    <w:rsid w:val="00373A19"/>
    <w:rsid w:val="00377A8C"/>
    <w:rsid w:val="00377FA4"/>
    <w:rsid w:val="0038057B"/>
    <w:rsid w:val="003808E6"/>
    <w:rsid w:val="00381922"/>
    <w:rsid w:val="003847CE"/>
    <w:rsid w:val="00384B5D"/>
    <w:rsid w:val="00391DAA"/>
    <w:rsid w:val="00392721"/>
    <w:rsid w:val="00394300"/>
    <w:rsid w:val="00394DC6"/>
    <w:rsid w:val="003A1A7A"/>
    <w:rsid w:val="003A1BBC"/>
    <w:rsid w:val="003B0E9B"/>
    <w:rsid w:val="003B1401"/>
    <w:rsid w:val="003B1413"/>
    <w:rsid w:val="003B1CDE"/>
    <w:rsid w:val="003B2076"/>
    <w:rsid w:val="003B472F"/>
    <w:rsid w:val="003B69C4"/>
    <w:rsid w:val="003B7E4C"/>
    <w:rsid w:val="003C293F"/>
    <w:rsid w:val="003C59C3"/>
    <w:rsid w:val="003C690E"/>
    <w:rsid w:val="003C7B6A"/>
    <w:rsid w:val="003D4CC4"/>
    <w:rsid w:val="003D5B41"/>
    <w:rsid w:val="003D675C"/>
    <w:rsid w:val="003D6E7E"/>
    <w:rsid w:val="003E244E"/>
    <w:rsid w:val="003E468A"/>
    <w:rsid w:val="003F0EB9"/>
    <w:rsid w:val="003F55F2"/>
    <w:rsid w:val="003F6025"/>
    <w:rsid w:val="003F6726"/>
    <w:rsid w:val="003F6A8B"/>
    <w:rsid w:val="004054BE"/>
    <w:rsid w:val="00407202"/>
    <w:rsid w:val="004129F4"/>
    <w:rsid w:val="00412DE7"/>
    <w:rsid w:val="0042126F"/>
    <w:rsid w:val="0042724F"/>
    <w:rsid w:val="00427E5F"/>
    <w:rsid w:val="004300C4"/>
    <w:rsid w:val="00432FE0"/>
    <w:rsid w:val="004351B0"/>
    <w:rsid w:val="0043563F"/>
    <w:rsid w:val="004358FB"/>
    <w:rsid w:val="00436BCE"/>
    <w:rsid w:val="00442D92"/>
    <w:rsid w:val="00443997"/>
    <w:rsid w:val="004448E3"/>
    <w:rsid w:val="00445BCD"/>
    <w:rsid w:val="00446D38"/>
    <w:rsid w:val="004476B3"/>
    <w:rsid w:val="0045346E"/>
    <w:rsid w:val="00455818"/>
    <w:rsid w:val="0046173A"/>
    <w:rsid w:val="00462444"/>
    <w:rsid w:val="00462702"/>
    <w:rsid w:val="0046305E"/>
    <w:rsid w:val="00463546"/>
    <w:rsid w:val="00463E20"/>
    <w:rsid w:val="00465271"/>
    <w:rsid w:val="004700E1"/>
    <w:rsid w:val="00470AED"/>
    <w:rsid w:val="00471718"/>
    <w:rsid w:val="00476B71"/>
    <w:rsid w:val="00477868"/>
    <w:rsid w:val="004802B6"/>
    <w:rsid w:val="00481F78"/>
    <w:rsid w:val="00487653"/>
    <w:rsid w:val="00491B2B"/>
    <w:rsid w:val="004958DF"/>
    <w:rsid w:val="00497FBD"/>
    <w:rsid w:val="004A2BD6"/>
    <w:rsid w:val="004A40BC"/>
    <w:rsid w:val="004A532F"/>
    <w:rsid w:val="004A53AF"/>
    <w:rsid w:val="004A5985"/>
    <w:rsid w:val="004B1F48"/>
    <w:rsid w:val="004C181E"/>
    <w:rsid w:val="004C36E5"/>
    <w:rsid w:val="004C3F5E"/>
    <w:rsid w:val="004C4139"/>
    <w:rsid w:val="004C5CB2"/>
    <w:rsid w:val="004C643B"/>
    <w:rsid w:val="004C6A54"/>
    <w:rsid w:val="004C74A4"/>
    <w:rsid w:val="004D05C1"/>
    <w:rsid w:val="004D1142"/>
    <w:rsid w:val="004D3EFD"/>
    <w:rsid w:val="004D4E90"/>
    <w:rsid w:val="004D5B32"/>
    <w:rsid w:val="004D7003"/>
    <w:rsid w:val="004D7DBB"/>
    <w:rsid w:val="004D7E60"/>
    <w:rsid w:val="004E0501"/>
    <w:rsid w:val="004E053A"/>
    <w:rsid w:val="004E17FF"/>
    <w:rsid w:val="004E1EB0"/>
    <w:rsid w:val="004E288E"/>
    <w:rsid w:val="004E4E91"/>
    <w:rsid w:val="004E554B"/>
    <w:rsid w:val="004E69C5"/>
    <w:rsid w:val="004E6F44"/>
    <w:rsid w:val="004F20CB"/>
    <w:rsid w:val="004F3B2E"/>
    <w:rsid w:val="004F3EC5"/>
    <w:rsid w:val="004F5E29"/>
    <w:rsid w:val="004F6939"/>
    <w:rsid w:val="00500BCE"/>
    <w:rsid w:val="0050214A"/>
    <w:rsid w:val="005056BD"/>
    <w:rsid w:val="0050578F"/>
    <w:rsid w:val="00506347"/>
    <w:rsid w:val="00506853"/>
    <w:rsid w:val="00510C97"/>
    <w:rsid w:val="00512820"/>
    <w:rsid w:val="005162C8"/>
    <w:rsid w:val="0052422A"/>
    <w:rsid w:val="0052475D"/>
    <w:rsid w:val="00525C92"/>
    <w:rsid w:val="0052636C"/>
    <w:rsid w:val="00526EFC"/>
    <w:rsid w:val="00527415"/>
    <w:rsid w:val="005310BE"/>
    <w:rsid w:val="0053177A"/>
    <w:rsid w:val="005318FF"/>
    <w:rsid w:val="00531FEB"/>
    <w:rsid w:val="00532738"/>
    <w:rsid w:val="005336A9"/>
    <w:rsid w:val="00535021"/>
    <w:rsid w:val="0053665F"/>
    <w:rsid w:val="00542ECE"/>
    <w:rsid w:val="00547947"/>
    <w:rsid w:val="005529A1"/>
    <w:rsid w:val="005545C5"/>
    <w:rsid w:val="00557DC9"/>
    <w:rsid w:val="005605C7"/>
    <w:rsid w:val="0056248A"/>
    <w:rsid w:val="00563CFE"/>
    <w:rsid w:val="00567508"/>
    <w:rsid w:val="0057555A"/>
    <w:rsid w:val="005759B5"/>
    <w:rsid w:val="005759E3"/>
    <w:rsid w:val="00581261"/>
    <w:rsid w:val="00583C8C"/>
    <w:rsid w:val="00584766"/>
    <w:rsid w:val="00584ABC"/>
    <w:rsid w:val="00584CE2"/>
    <w:rsid w:val="00587A03"/>
    <w:rsid w:val="0059012E"/>
    <w:rsid w:val="0059037F"/>
    <w:rsid w:val="00590A46"/>
    <w:rsid w:val="0059678B"/>
    <w:rsid w:val="005A0323"/>
    <w:rsid w:val="005A46A9"/>
    <w:rsid w:val="005B01D6"/>
    <w:rsid w:val="005B302C"/>
    <w:rsid w:val="005C1A11"/>
    <w:rsid w:val="005C2264"/>
    <w:rsid w:val="005C2569"/>
    <w:rsid w:val="005C2636"/>
    <w:rsid w:val="005C36C4"/>
    <w:rsid w:val="005C644A"/>
    <w:rsid w:val="005C66B9"/>
    <w:rsid w:val="005D3C43"/>
    <w:rsid w:val="005D6763"/>
    <w:rsid w:val="005D7AB2"/>
    <w:rsid w:val="005E0824"/>
    <w:rsid w:val="005E1854"/>
    <w:rsid w:val="005E1D72"/>
    <w:rsid w:val="005E2FEC"/>
    <w:rsid w:val="005E51F8"/>
    <w:rsid w:val="005E5F74"/>
    <w:rsid w:val="005F13AE"/>
    <w:rsid w:val="005F27F8"/>
    <w:rsid w:val="005F3962"/>
    <w:rsid w:val="005F4F70"/>
    <w:rsid w:val="005F5683"/>
    <w:rsid w:val="00605700"/>
    <w:rsid w:val="006076B8"/>
    <w:rsid w:val="0061049C"/>
    <w:rsid w:val="00610A56"/>
    <w:rsid w:val="006112C0"/>
    <w:rsid w:val="006122E2"/>
    <w:rsid w:val="00616A68"/>
    <w:rsid w:val="00617DC0"/>
    <w:rsid w:val="00623001"/>
    <w:rsid w:val="006246C5"/>
    <w:rsid w:val="00626FF1"/>
    <w:rsid w:val="00632A63"/>
    <w:rsid w:val="006334FE"/>
    <w:rsid w:val="006338A9"/>
    <w:rsid w:val="006403C1"/>
    <w:rsid w:val="0064273A"/>
    <w:rsid w:val="00642A4B"/>
    <w:rsid w:val="00643FB1"/>
    <w:rsid w:val="00645345"/>
    <w:rsid w:val="00645370"/>
    <w:rsid w:val="0064580D"/>
    <w:rsid w:val="0065337C"/>
    <w:rsid w:val="00656A4A"/>
    <w:rsid w:val="00661210"/>
    <w:rsid w:val="006640D4"/>
    <w:rsid w:val="006652FF"/>
    <w:rsid w:val="00667D6F"/>
    <w:rsid w:val="0067166D"/>
    <w:rsid w:val="00672220"/>
    <w:rsid w:val="00675CCE"/>
    <w:rsid w:val="00676CAB"/>
    <w:rsid w:val="00677F07"/>
    <w:rsid w:val="006826DC"/>
    <w:rsid w:val="006833C9"/>
    <w:rsid w:val="006838F0"/>
    <w:rsid w:val="00684A69"/>
    <w:rsid w:val="0068532B"/>
    <w:rsid w:val="006857F6"/>
    <w:rsid w:val="0068600B"/>
    <w:rsid w:val="00690876"/>
    <w:rsid w:val="006925FF"/>
    <w:rsid w:val="006933C1"/>
    <w:rsid w:val="00695437"/>
    <w:rsid w:val="006A39AA"/>
    <w:rsid w:val="006A5C7E"/>
    <w:rsid w:val="006A65E5"/>
    <w:rsid w:val="006B2395"/>
    <w:rsid w:val="006B4972"/>
    <w:rsid w:val="006C0C2B"/>
    <w:rsid w:val="006C53AC"/>
    <w:rsid w:val="006C6093"/>
    <w:rsid w:val="006C7B4E"/>
    <w:rsid w:val="006D26D9"/>
    <w:rsid w:val="006D3105"/>
    <w:rsid w:val="006D337E"/>
    <w:rsid w:val="006D3C37"/>
    <w:rsid w:val="006E61C4"/>
    <w:rsid w:val="006F3F5A"/>
    <w:rsid w:val="006F4A09"/>
    <w:rsid w:val="006F5872"/>
    <w:rsid w:val="00700410"/>
    <w:rsid w:val="00702CA9"/>
    <w:rsid w:val="0070337A"/>
    <w:rsid w:val="007073B7"/>
    <w:rsid w:val="00707A19"/>
    <w:rsid w:val="00710171"/>
    <w:rsid w:val="0071176F"/>
    <w:rsid w:val="0071185C"/>
    <w:rsid w:val="00716D25"/>
    <w:rsid w:val="00717472"/>
    <w:rsid w:val="00721AC4"/>
    <w:rsid w:val="00724A85"/>
    <w:rsid w:val="00737188"/>
    <w:rsid w:val="00737806"/>
    <w:rsid w:val="00740E28"/>
    <w:rsid w:val="00742320"/>
    <w:rsid w:val="007426E0"/>
    <w:rsid w:val="00745DE1"/>
    <w:rsid w:val="00746064"/>
    <w:rsid w:val="00747431"/>
    <w:rsid w:val="00751A12"/>
    <w:rsid w:val="0075689F"/>
    <w:rsid w:val="007603EF"/>
    <w:rsid w:val="00761E37"/>
    <w:rsid w:val="00764B55"/>
    <w:rsid w:val="007652A2"/>
    <w:rsid w:val="00767D4D"/>
    <w:rsid w:val="00770708"/>
    <w:rsid w:val="00773120"/>
    <w:rsid w:val="007761B3"/>
    <w:rsid w:val="00782B87"/>
    <w:rsid w:val="0078543D"/>
    <w:rsid w:val="00785C72"/>
    <w:rsid w:val="0079482A"/>
    <w:rsid w:val="0079507C"/>
    <w:rsid w:val="00795FCC"/>
    <w:rsid w:val="00796FDC"/>
    <w:rsid w:val="00797FED"/>
    <w:rsid w:val="007A3F51"/>
    <w:rsid w:val="007A53ED"/>
    <w:rsid w:val="007B17A7"/>
    <w:rsid w:val="007B33B3"/>
    <w:rsid w:val="007B33B5"/>
    <w:rsid w:val="007B3C70"/>
    <w:rsid w:val="007B5375"/>
    <w:rsid w:val="007B577E"/>
    <w:rsid w:val="007B609A"/>
    <w:rsid w:val="007B6AA0"/>
    <w:rsid w:val="007C035B"/>
    <w:rsid w:val="007C36E3"/>
    <w:rsid w:val="007D2964"/>
    <w:rsid w:val="007D32C0"/>
    <w:rsid w:val="007D469F"/>
    <w:rsid w:val="007D48EB"/>
    <w:rsid w:val="007D51E3"/>
    <w:rsid w:val="007D6A38"/>
    <w:rsid w:val="007D6BDF"/>
    <w:rsid w:val="007D7705"/>
    <w:rsid w:val="007E0CEF"/>
    <w:rsid w:val="007E36C7"/>
    <w:rsid w:val="007E48E9"/>
    <w:rsid w:val="007E575F"/>
    <w:rsid w:val="007E5AB3"/>
    <w:rsid w:val="007F100D"/>
    <w:rsid w:val="007F2C30"/>
    <w:rsid w:val="007F3F12"/>
    <w:rsid w:val="007F4477"/>
    <w:rsid w:val="007F5982"/>
    <w:rsid w:val="007F6083"/>
    <w:rsid w:val="007F6F35"/>
    <w:rsid w:val="007F722E"/>
    <w:rsid w:val="008011D5"/>
    <w:rsid w:val="00801B48"/>
    <w:rsid w:val="00803DA7"/>
    <w:rsid w:val="00803E3F"/>
    <w:rsid w:val="0080513B"/>
    <w:rsid w:val="00805656"/>
    <w:rsid w:val="00807B2A"/>
    <w:rsid w:val="008105B2"/>
    <w:rsid w:val="00816494"/>
    <w:rsid w:val="00816ED1"/>
    <w:rsid w:val="00817EEA"/>
    <w:rsid w:val="00821B35"/>
    <w:rsid w:val="00824990"/>
    <w:rsid w:val="00825A09"/>
    <w:rsid w:val="00830736"/>
    <w:rsid w:val="008327A3"/>
    <w:rsid w:val="00835D57"/>
    <w:rsid w:val="00837CBF"/>
    <w:rsid w:val="00837EE3"/>
    <w:rsid w:val="00840577"/>
    <w:rsid w:val="008421A7"/>
    <w:rsid w:val="008463E8"/>
    <w:rsid w:val="008474A5"/>
    <w:rsid w:val="008516D5"/>
    <w:rsid w:val="00851F22"/>
    <w:rsid w:val="00852D66"/>
    <w:rsid w:val="00854EF6"/>
    <w:rsid w:val="00857223"/>
    <w:rsid w:val="0086060E"/>
    <w:rsid w:val="008611F6"/>
    <w:rsid w:val="00863FEA"/>
    <w:rsid w:val="00865913"/>
    <w:rsid w:val="008707C1"/>
    <w:rsid w:val="008720F5"/>
    <w:rsid w:val="00873E75"/>
    <w:rsid w:val="00875167"/>
    <w:rsid w:val="00875E01"/>
    <w:rsid w:val="00882BBB"/>
    <w:rsid w:val="0088381E"/>
    <w:rsid w:val="0088607E"/>
    <w:rsid w:val="00890AB7"/>
    <w:rsid w:val="00890B96"/>
    <w:rsid w:val="00892A9C"/>
    <w:rsid w:val="00897F96"/>
    <w:rsid w:val="008A038B"/>
    <w:rsid w:val="008A0A95"/>
    <w:rsid w:val="008A14C9"/>
    <w:rsid w:val="008A241E"/>
    <w:rsid w:val="008A2B35"/>
    <w:rsid w:val="008A597E"/>
    <w:rsid w:val="008A68DB"/>
    <w:rsid w:val="008B0208"/>
    <w:rsid w:val="008B030A"/>
    <w:rsid w:val="008B224A"/>
    <w:rsid w:val="008B2756"/>
    <w:rsid w:val="008B7EBB"/>
    <w:rsid w:val="008C4020"/>
    <w:rsid w:val="008C5EAC"/>
    <w:rsid w:val="008C6026"/>
    <w:rsid w:val="008D05A8"/>
    <w:rsid w:val="008D068C"/>
    <w:rsid w:val="008D1B1E"/>
    <w:rsid w:val="008D1FA4"/>
    <w:rsid w:val="008D3766"/>
    <w:rsid w:val="008D42CD"/>
    <w:rsid w:val="008D7557"/>
    <w:rsid w:val="008E1882"/>
    <w:rsid w:val="008E258F"/>
    <w:rsid w:val="008E3059"/>
    <w:rsid w:val="008E4B83"/>
    <w:rsid w:val="008F073E"/>
    <w:rsid w:val="008F1B1E"/>
    <w:rsid w:val="008F252E"/>
    <w:rsid w:val="008F3DE8"/>
    <w:rsid w:val="008F4619"/>
    <w:rsid w:val="00904250"/>
    <w:rsid w:val="00906B25"/>
    <w:rsid w:val="00907CD7"/>
    <w:rsid w:val="00907EE6"/>
    <w:rsid w:val="00911399"/>
    <w:rsid w:val="00912621"/>
    <w:rsid w:val="0091289A"/>
    <w:rsid w:val="00915BD1"/>
    <w:rsid w:val="00915BDE"/>
    <w:rsid w:val="009176C1"/>
    <w:rsid w:val="00920028"/>
    <w:rsid w:val="00920E30"/>
    <w:rsid w:val="00922088"/>
    <w:rsid w:val="00923518"/>
    <w:rsid w:val="00923B90"/>
    <w:rsid w:val="009243E5"/>
    <w:rsid w:val="00925662"/>
    <w:rsid w:val="00933787"/>
    <w:rsid w:val="0093710E"/>
    <w:rsid w:val="00944E43"/>
    <w:rsid w:val="00946FC1"/>
    <w:rsid w:val="0094707B"/>
    <w:rsid w:val="009520AC"/>
    <w:rsid w:val="0095247D"/>
    <w:rsid w:val="00952B02"/>
    <w:rsid w:val="009538A5"/>
    <w:rsid w:val="009543E7"/>
    <w:rsid w:val="00957B8D"/>
    <w:rsid w:val="009616AC"/>
    <w:rsid w:val="0096478B"/>
    <w:rsid w:val="009674D5"/>
    <w:rsid w:val="0097141F"/>
    <w:rsid w:val="00983317"/>
    <w:rsid w:val="00983751"/>
    <w:rsid w:val="00986216"/>
    <w:rsid w:val="00995370"/>
    <w:rsid w:val="009976FE"/>
    <w:rsid w:val="00997720"/>
    <w:rsid w:val="009A5383"/>
    <w:rsid w:val="009A6C6C"/>
    <w:rsid w:val="009B1CFF"/>
    <w:rsid w:val="009B3725"/>
    <w:rsid w:val="009B5793"/>
    <w:rsid w:val="009B5BFB"/>
    <w:rsid w:val="009B6B6B"/>
    <w:rsid w:val="009B7E6F"/>
    <w:rsid w:val="009C199B"/>
    <w:rsid w:val="009C280F"/>
    <w:rsid w:val="009C5F3B"/>
    <w:rsid w:val="009C7B06"/>
    <w:rsid w:val="009D3509"/>
    <w:rsid w:val="009D51AD"/>
    <w:rsid w:val="009E06EE"/>
    <w:rsid w:val="009E46B7"/>
    <w:rsid w:val="009E71BF"/>
    <w:rsid w:val="009F4809"/>
    <w:rsid w:val="009F4F38"/>
    <w:rsid w:val="009F5D06"/>
    <w:rsid w:val="00A00038"/>
    <w:rsid w:val="00A00B54"/>
    <w:rsid w:val="00A02425"/>
    <w:rsid w:val="00A07CE5"/>
    <w:rsid w:val="00A11240"/>
    <w:rsid w:val="00A14FEB"/>
    <w:rsid w:val="00A15C61"/>
    <w:rsid w:val="00A16854"/>
    <w:rsid w:val="00A16E15"/>
    <w:rsid w:val="00A17630"/>
    <w:rsid w:val="00A2042A"/>
    <w:rsid w:val="00A34BB2"/>
    <w:rsid w:val="00A34C43"/>
    <w:rsid w:val="00A36A35"/>
    <w:rsid w:val="00A412B2"/>
    <w:rsid w:val="00A47118"/>
    <w:rsid w:val="00A5155B"/>
    <w:rsid w:val="00A55A41"/>
    <w:rsid w:val="00A55E1A"/>
    <w:rsid w:val="00A575E4"/>
    <w:rsid w:val="00A6011D"/>
    <w:rsid w:val="00A61EC5"/>
    <w:rsid w:val="00A6390A"/>
    <w:rsid w:val="00A65635"/>
    <w:rsid w:val="00A66503"/>
    <w:rsid w:val="00A6772F"/>
    <w:rsid w:val="00A708A1"/>
    <w:rsid w:val="00A72D22"/>
    <w:rsid w:val="00A779B2"/>
    <w:rsid w:val="00A8578C"/>
    <w:rsid w:val="00A9321D"/>
    <w:rsid w:val="00A95013"/>
    <w:rsid w:val="00A96441"/>
    <w:rsid w:val="00A972BA"/>
    <w:rsid w:val="00AA3384"/>
    <w:rsid w:val="00AA3467"/>
    <w:rsid w:val="00AA397F"/>
    <w:rsid w:val="00AA4D54"/>
    <w:rsid w:val="00AB0BA2"/>
    <w:rsid w:val="00AB0F6D"/>
    <w:rsid w:val="00AB137D"/>
    <w:rsid w:val="00AB1979"/>
    <w:rsid w:val="00AB1AF2"/>
    <w:rsid w:val="00AB4995"/>
    <w:rsid w:val="00AB661D"/>
    <w:rsid w:val="00AC3BB5"/>
    <w:rsid w:val="00AC5B7A"/>
    <w:rsid w:val="00AD09D0"/>
    <w:rsid w:val="00AD1EC4"/>
    <w:rsid w:val="00AD3D28"/>
    <w:rsid w:val="00AD5AB8"/>
    <w:rsid w:val="00AD6388"/>
    <w:rsid w:val="00AE2723"/>
    <w:rsid w:val="00AE3097"/>
    <w:rsid w:val="00AF6784"/>
    <w:rsid w:val="00AF7A3D"/>
    <w:rsid w:val="00B01BF2"/>
    <w:rsid w:val="00B01EA9"/>
    <w:rsid w:val="00B07483"/>
    <w:rsid w:val="00B1270D"/>
    <w:rsid w:val="00B234FB"/>
    <w:rsid w:val="00B23B95"/>
    <w:rsid w:val="00B251AF"/>
    <w:rsid w:val="00B26F64"/>
    <w:rsid w:val="00B327DF"/>
    <w:rsid w:val="00B32EE4"/>
    <w:rsid w:val="00B37855"/>
    <w:rsid w:val="00B404C6"/>
    <w:rsid w:val="00B404D5"/>
    <w:rsid w:val="00B418E1"/>
    <w:rsid w:val="00B4277E"/>
    <w:rsid w:val="00B454E3"/>
    <w:rsid w:val="00B47092"/>
    <w:rsid w:val="00B50829"/>
    <w:rsid w:val="00B517C5"/>
    <w:rsid w:val="00B53B35"/>
    <w:rsid w:val="00B55CE2"/>
    <w:rsid w:val="00B560A3"/>
    <w:rsid w:val="00B560E6"/>
    <w:rsid w:val="00B567B0"/>
    <w:rsid w:val="00B57DA1"/>
    <w:rsid w:val="00B633D9"/>
    <w:rsid w:val="00B63F8E"/>
    <w:rsid w:val="00B647E7"/>
    <w:rsid w:val="00B670F1"/>
    <w:rsid w:val="00B67BD6"/>
    <w:rsid w:val="00B7159D"/>
    <w:rsid w:val="00B718A5"/>
    <w:rsid w:val="00B729C0"/>
    <w:rsid w:val="00B73FFB"/>
    <w:rsid w:val="00B80C11"/>
    <w:rsid w:val="00B819E7"/>
    <w:rsid w:val="00B81F5E"/>
    <w:rsid w:val="00B863F0"/>
    <w:rsid w:val="00B874D9"/>
    <w:rsid w:val="00B9027C"/>
    <w:rsid w:val="00B903F0"/>
    <w:rsid w:val="00B90898"/>
    <w:rsid w:val="00B91B66"/>
    <w:rsid w:val="00B9315C"/>
    <w:rsid w:val="00BA0D4E"/>
    <w:rsid w:val="00BA107B"/>
    <w:rsid w:val="00BA1F4F"/>
    <w:rsid w:val="00BA2855"/>
    <w:rsid w:val="00BA5150"/>
    <w:rsid w:val="00BA528E"/>
    <w:rsid w:val="00BA5CF4"/>
    <w:rsid w:val="00BA7022"/>
    <w:rsid w:val="00BB091C"/>
    <w:rsid w:val="00BB3003"/>
    <w:rsid w:val="00BB7442"/>
    <w:rsid w:val="00BC05A3"/>
    <w:rsid w:val="00BC0EE6"/>
    <w:rsid w:val="00BC49C0"/>
    <w:rsid w:val="00BC6F2A"/>
    <w:rsid w:val="00BC6FDE"/>
    <w:rsid w:val="00BC72DC"/>
    <w:rsid w:val="00BD484E"/>
    <w:rsid w:val="00BD57FD"/>
    <w:rsid w:val="00BD6D5A"/>
    <w:rsid w:val="00BE0424"/>
    <w:rsid w:val="00BE40CC"/>
    <w:rsid w:val="00BE45AD"/>
    <w:rsid w:val="00BE49D8"/>
    <w:rsid w:val="00BE5EE5"/>
    <w:rsid w:val="00BE7A69"/>
    <w:rsid w:val="00BF07A9"/>
    <w:rsid w:val="00BF1FE7"/>
    <w:rsid w:val="00C0198C"/>
    <w:rsid w:val="00C01A1B"/>
    <w:rsid w:val="00C03A8B"/>
    <w:rsid w:val="00C04D8D"/>
    <w:rsid w:val="00C05694"/>
    <w:rsid w:val="00C062ED"/>
    <w:rsid w:val="00C064BF"/>
    <w:rsid w:val="00C11829"/>
    <w:rsid w:val="00C11D7A"/>
    <w:rsid w:val="00C17DE0"/>
    <w:rsid w:val="00C22CA5"/>
    <w:rsid w:val="00C239B7"/>
    <w:rsid w:val="00C31999"/>
    <w:rsid w:val="00C32F45"/>
    <w:rsid w:val="00C35BF8"/>
    <w:rsid w:val="00C3739E"/>
    <w:rsid w:val="00C37ABE"/>
    <w:rsid w:val="00C43DA1"/>
    <w:rsid w:val="00C44ED5"/>
    <w:rsid w:val="00C46321"/>
    <w:rsid w:val="00C46F7D"/>
    <w:rsid w:val="00C54F77"/>
    <w:rsid w:val="00C55899"/>
    <w:rsid w:val="00C5638E"/>
    <w:rsid w:val="00C56CBE"/>
    <w:rsid w:val="00C56D69"/>
    <w:rsid w:val="00C60730"/>
    <w:rsid w:val="00C62DA8"/>
    <w:rsid w:val="00C630B8"/>
    <w:rsid w:val="00C64F5E"/>
    <w:rsid w:val="00C65A03"/>
    <w:rsid w:val="00C67387"/>
    <w:rsid w:val="00C67C89"/>
    <w:rsid w:val="00C70720"/>
    <w:rsid w:val="00C715DD"/>
    <w:rsid w:val="00C72342"/>
    <w:rsid w:val="00C73337"/>
    <w:rsid w:val="00C803F1"/>
    <w:rsid w:val="00C81A27"/>
    <w:rsid w:val="00C84299"/>
    <w:rsid w:val="00C85F7F"/>
    <w:rsid w:val="00C8624E"/>
    <w:rsid w:val="00C928E4"/>
    <w:rsid w:val="00C92D11"/>
    <w:rsid w:val="00C92F74"/>
    <w:rsid w:val="00C9426C"/>
    <w:rsid w:val="00C955AE"/>
    <w:rsid w:val="00C96077"/>
    <w:rsid w:val="00C97AA8"/>
    <w:rsid w:val="00C97D67"/>
    <w:rsid w:val="00C97E6E"/>
    <w:rsid w:val="00CA072C"/>
    <w:rsid w:val="00CA59C3"/>
    <w:rsid w:val="00CB0331"/>
    <w:rsid w:val="00CB63BF"/>
    <w:rsid w:val="00CC2B64"/>
    <w:rsid w:val="00CC5BE2"/>
    <w:rsid w:val="00CC7262"/>
    <w:rsid w:val="00CC7F7A"/>
    <w:rsid w:val="00CD2A83"/>
    <w:rsid w:val="00CD4335"/>
    <w:rsid w:val="00CD525D"/>
    <w:rsid w:val="00CD6D2F"/>
    <w:rsid w:val="00CE0055"/>
    <w:rsid w:val="00CE48EE"/>
    <w:rsid w:val="00CE63A4"/>
    <w:rsid w:val="00CE76D3"/>
    <w:rsid w:val="00CE7F6E"/>
    <w:rsid w:val="00CF4AF4"/>
    <w:rsid w:val="00D0091C"/>
    <w:rsid w:val="00D01B3C"/>
    <w:rsid w:val="00D03BC8"/>
    <w:rsid w:val="00D0566D"/>
    <w:rsid w:val="00D10F23"/>
    <w:rsid w:val="00D110E1"/>
    <w:rsid w:val="00D11E31"/>
    <w:rsid w:val="00D1533D"/>
    <w:rsid w:val="00D228F2"/>
    <w:rsid w:val="00D23269"/>
    <w:rsid w:val="00D240A1"/>
    <w:rsid w:val="00D24266"/>
    <w:rsid w:val="00D244D5"/>
    <w:rsid w:val="00D25463"/>
    <w:rsid w:val="00D263DE"/>
    <w:rsid w:val="00D26519"/>
    <w:rsid w:val="00D2783C"/>
    <w:rsid w:val="00D27C43"/>
    <w:rsid w:val="00D27E4F"/>
    <w:rsid w:val="00D30B41"/>
    <w:rsid w:val="00D319BE"/>
    <w:rsid w:val="00D32220"/>
    <w:rsid w:val="00D32347"/>
    <w:rsid w:val="00D35A8B"/>
    <w:rsid w:val="00D36786"/>
    <w:rsid w:val="00D402A7"/>
    <w:rsid w:val="00D41EDA"/>
    <w:rsid w:val="00D42B34"/>
    <w:rsid w:val="00D471E7"/>
    <w:rsid w:val="00D52F34"/>
    <w:rsid w:val="00D52FD2"/>
    <w:rsid w:val="00D54E57"/>
    <w:rsid w:val="00D6051C"/>
    <w:rsid w:val="00D60B4E"/>
    <w:rsid w:val="00D61E99"/>
    <w:rsid w:val="00D624C6"/>
    <w:rsid w:val="00D637E6"/>
    <w:rsid w:val="00D648B7"/>
    <w:rsid w:val="00D64F8F"/>
    <w:rsid w:val="00D664C8"/>
    <w:rsid w:val="00D66534"/>
    <w:rsid w:val="00D672C7"/>
    <w:rsid w:val="00D72C81"/>
    <w:rsid w:val="00D750E1"/>
    <w:rsid w:val="00D75119"/>
    <w:rsid w:val="00D768E4"/>
    <w:rsid w:val="00D76F8D"/>
    <w:rsid w:val="00D83382"/>
    <w:rsid w:val="00D84A2F"/>
    <w:rsid w:val="00D91B4B"/>
    <w:rsid w:val="00D92EA1"/>
    <w:rsid w:val="00D9491E"/>
    <w:rsid w:val="00D962E1"/>
    <w:rsid w:val="00D963E0"/>
    <w:rsid w:val="00D96A6D"/>
    <w:rsid w:val="00D96BDF"/>
    <w:rsid w:val="00D97609"/>
    <w:rsid w:val="00D97A99"/>
    <w:rsid w:val="00DA1CFD"/>
    <w:rsid w:val="00DB0E3F"/>
    <w:rsid w:val="00DB1899"/>
    <w:rsid w:val="00DC0391"/>
    <w:rsid w:val="00DC6A66"/>
    <w:rsid w:val="00DD1E67"/>
    <w:rsid w:val="00DD5381"/>
    <w:rsid w:val="00DE15FE"/>
    <w:rsid w:val="00DE4CC2"/>
    <w:rsid w:val="00DE59C6"/>
    <w:rsid w:val="00DE73FC"/>
    <w:rsid w:val="00DE7D54"/>
    <w:rsid w:val="00DF559B"/>
    <w:rsid w:val="00DF60DB"/>
    <w:rsid w:val="00E00751"/>
    <w:rsid w:val="00E05234"/>
    <w:rsid w:val="00E06506"/>
    <w:rsid w:val="00E0715A"/>
    <w:rsid w:val="00E07DBD"/>
    <w:rsid w:val="00E125EB"/>
    <w:rsid w:val="00E15590"/>
    <w:rsid w:val="00E164D5"/>
    <w:rsid w:val="00E1659E"/>
    <w:rsid w:val="00E23514"/>
    <w:rsid w:val="00E25204"/>
    <w:rsid w:val="00E265C7"/>
    <w:rsid w:val="00E26D8B"/>
    <w:rsid w:val="00E30E31"/>
    <w:rsid w:val="00E31FDD"/>
    <w:rsid w:val="00E33E65"/>
    <w:rsid w:val="00E33E6B"/>
    <w:rsid w:val="00E34BF0"/>
    <w:rsid w:val="00E4208B"/>
    <w:rsid w:val="00E454AB"/>
    <w:rsid w:val="00E47BBC"/>
    <w:rsid w:val="00E50020"/>
    <w:rsid w:val="00E51578"/>
    <w:rsid w:val="00E549CC"/>
    <w:rsid w:val="00E57B4D"/>
    <w:rsid w:val="00E60C0F"/>
    <w:rsid w:val="00E62DEE"/>
    <w:rsid w:val="00E63149"/>
    <w:rsid w:val="00E66677"/>
    <w:rsid w:val="00E70D40"/>
    <w:rsid w:val="00E71A00"/>
    <w:rsid w:val="00E71A28"/>
    <w:rsid w:val="00E75E76"/>
    <w:rsid w:val="00E8016E"/>
    <w:rsid w:val="00E821F9"/>
    <w:rsid w:val="00E82326"/>
    <w:rsid w:val="00E829F4"/>
    <w:rsid w:val="00E83654"/>
    <w:rsid w:val="00E85ADC"/>
    <w:rsid w:val="00E86A06"/>
    <w:rsid w:val="00E86F7A"/>
    <w:rsid w:val="00E90710"/>
    <w:rsid w:val="00E90DBA"/>
    <w:rsid w:val="00E93FC9"/>
    <w:rsid w:val="00EA18B1"/>
    <w:rsid w:val="00EA7AAD"/>
    <w:rsid w:val="00EB4ACD"/>
    <w:rsid w:val="00EB605E"/>
    <w:rsid w:val="00EB7FC5"/>
    <w:rsid w:val="00EC267B"/>
    <w:rsid w:val="00EC71BA"/>
    <w:rsid w:val="00ED2DF5"/>
    <w:rsid w:val="00ED32E8"/>
    <w:rsid w:val="00ED7D0D"/>
    <w:rsid w:val="00ED7FF0"/>
    <w:rsid w:val="00EE2941"/>
    <w:rsid w:val="00EE2BAA"/>
    <w:rsid w:val="00EE3BBD"/>
    <w:rsid w:val="00EE496F"/>
    <w:rsid w:val="00EE51BB"/>
    <w:rsid w:val="00EE6C3F"/>
    <w:rsid w:val="00EF051C"/>
    <w:rsid w:val="00EF0777"/>
    <w:rsid w:val="00EF2318"/>
    <w:rsid w:val="00EF2A0D"/>
    <w:rsid w:val="00EF3DFC"/>
    <w:rsid w:val="00EF4AC5"/>
    <w:rsid w:val="00EF666E"/>
    <w:rsid w:val="00EF718E"/>
    <w:rsid w:val="00F0154C"/>
    <w:rsid w:val="00F0316E"/>
    <w:rsid w:val="00F03F04"/>
    <w:rsid w:val="00F06B33"/>
    <w:rsid w:val="00F10EC3"/>
    <w:rsid w:val="00F1333D"/>
    <w:rsid w:val="00F13B87"/>
    <w:rsid w:val="00F177B8"/>
    <w:rsid w:val="00F219DC"/>
    <w:rsid w:val="00F22E75"/>
    <w:rsid w:val="00F239E0"/>
    <w:rsid w:val="00F25E40"/>
    <w:rsid w:val="00F2774D"/>
    <w:rsid w:val="00F27D68"/>
    <w:rsid w:val="00F32800"/>
    <w:rsid w:val="00F37DD7"/>
    <w:rsid w:val="00F41C69"/>
    <w:rsid w:val="00F42CAA"/>
    <w:rsid w:val="00F4426A"/>
    <w:rsid w:val="00F44675"/>
    <w:rsid w:val="00F47F98"/>
    <w:rsid w:val="00F5315E"/>
    <w:rsid w:val="00F5377E"/>
    <w:rsid w:val="00F538B7"/>
    <w:rsid w:val="00F57D30"/>
    <w:rsid w:val="00F61FA5"/>
    <w:rsid w:val="00F6380F"/>
    <w:rsid w:val="00F63B5B"/>
    <w:rsid w:val="00F644A3"/>
    <w:rsid w:val="00F71C0B"/>
    <w:rsid w:val="00F720BC"/>
    <w:rsid w:val="00F725B7"/>
    <w:rsid w:val="00F765F8"/>
    <w:rsid w:val="00F76F2A"/>
    <w:rsid w:val="00F77F6C"/>
    <w:rsid w:val="00F83822"/>
    <w:rsid w:val="00F8514D"/>
    <w:rsid w:val="00F861CC"/>
    <w:rsid w:val="00F86CD7"/>
    <w:rsid w:val="00F86D7B"/>
    <w:rsid w:val="00F901DC"/>
    <w:rsid w:val="00F906E5"/>
    <w:rsid w:val="00F90A9F"/>
    <w:rsid w:val="00F90F6B"/>
    <w:rsid w:val="00F94A87"/>
    <w:rsid w:val="00F95AB1"/>
    <w:rsid w:val="00F95BDC"/>
    <w:rsid w:val="00F97BFB"/>
    <w:rsid w:val="00FA0D5A"/>
    <w:rsid w:val="00FA18F6"/>
    <w:rsid w:val="00FA28BC"/>
    <w:rsid w:val="00FB1626"/>
    <w:rsid w:val="00FB2441"/>
    <w:rsid w:val="00FB2D70"/>
    <w:rsid w:val="00FB3021"/>
    <w:rsid w:val="00FB32A1"/>
    <w:rsid w:val="00FB3865"/>
    <w:rsid w:val="00FB4319"/>
    <w:rsid w:val="00FB4B57"/>
    <w:rsid w:val="00FC02BE"/>
    <w:rsid w:val="00FC1662"/>
    <w:rsid w:val="00FC46A7"/>
    <w:rsid w:val="00FC70EA"/>
    <w:rsid w:val="00FD6265"/>
    <w:rsid w:val="00FD78C0"/>
    <w:rsid w:val="00FD7F0C"/>
    <w:rsid w:val="00FE10DC"/>
    <w:rsid w:val="00FE1E22"/>
    <w:rsid w:val="00FE2219"/>
    <w:rsid w:val="00FE3A86"/>
    <w:rsid w:val="00FE5B67"/>
    <w:rsid w:val="00FE66FB"/>
    <w:rsid w:val="00FF010F"/>
    <w:rsid w:val="00FF3963"/>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7F87F"/>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FF7D8B0-101A-4076-A532-B705BDC76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5122</TotalTime>
  <Pages>4</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1512</cp:revision>
  <cp:lastPrinted>2020-09-28T07:15:00Z</cp:lastPrinted>
  <dcterms:created xsi:type="dcterms:W3CDTF">2020-08-24T02:20:00Z</dcterms:created>
  <dcterms:modified xsi:type="dcterms:W3CDTF">2021-04-02T05:55:00Z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